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0B61E" w14:textId="4A67C498" w:rsidR="004A6098" w:rsidRPr="00E11148" w:rsidRDefault="00860638" w:rsidP="00E11148">
      <w:pPr>
        <w:rPr>
          <w:b/>
          <w:sz w:val="28"/>
          <w:szCs w:val="28"/>
        </w:rPr>
      </w:pPr>
      <w:r w:rsidRPr="00E11148">
        <w:rPr>
          <w:b/>
          <w:sz w:val="28"/>
          <w:szCs w:val="28"/>
        </w:rPr>
        <w:t xml:space="preserve">Kagu-Eesti spetsialistide eluasemete toetusmeetme </w:t>
      </w:r>
      <w:r w:rsidR="000270B3" w:rsidRPr="00E11148">
        <w:rPr>
          <w:b/>
          <w:sz w:val="28"/>
          <w:szCs w:val="28"/>
        </w:rPr>
        <w:t>taotluste hindamisjuhend</w:t>
      </w:r>
    </w:p>
    <w:p w14:paraId="5CD7716B" w14:textId="77777777" w:rsidR="004A6098" w:rsidRPr="006434AD" w:rsidRDefault="004A6098" w:rsidP="004A6098">
      <w:pPr>
        <w:jc w:val="center"/>
        <w:rPr>
          <w:b/>
        </w:rPr>
      </w:pPr>
    </w:p>
    <w:p w14:paraId="78EECCE7" w14:textId="77777777" w:rsidR="004A6098" w:rsidRPr="00AA0A49" w:rsidRDefault="004A6098" w:rsidP="004A6098">
      <w:pPr>
        <w:numPr>
          <w:ilvl w:val="0"/>
          <w:numId w:val="1"/>
        </w:numPr>
        <w:jc w:val="both"/>
      </w:pPr>
      <w:r w:rsidRPr="00AA0A49">
        <w:t>Taotluste hindamiskriteeriumid on järgmised:</w:t>
      </w:r>
    </w:p>
    <w:p w14:paraId="7C37B360" w14:textId="201A3F6D" w:rsidR="004A6098" w:rsidRDefault="00CF6838" w:rsidP="004A6098">
      <w:pPr>
        <w:numPr>
          <w:ilvl w:val="1"/>
          <w:numId w:val="1"/>
        </w:numPr>
        <w:jc w:val="both"/>
      </w:pPr>
      <w:r>
        <w:t>p</w:t>
      </w:r>
      <w:r w:rsidR="00C84A9E">
        <w:t>rojekti mõju meetme eesmärkide saavutamisele</w:t>
      </w:r>
      <w:r w:rsidR="00493E91">
        <w:t xml:space="preserve">, </w:t>
      </w:r>
      <w:r w:rsidR="00724D66">
        <w:t>3</w:t>
      </w:r>
      <w:r w:rsidR="00493E91">
        <w:t>0% koondhindest</w:t>
      </w:r>
      <w:r w:rsidR="004A6098" w:rsidRPr="00AA0A49">
        <w:t>;</w:t>
      </w:r>
    </w:p>
    <w:p w14:paraId="5ED6CC72" w14:textId="05EF4A8A" w:rsidR="00FA36D2" w:rsidRPr="00D6323F" w:rsidRDefault="00FF369A" w:rsidP="004A6098">
      <w:pPr>
        <w:numPr>
          <w:ilvl w:val="1"/>
          <w:numId w:val="1"/>
        </w:numPr>
        <w:jc w:val="both"/>
      </w:pPr>
      <w:r w:rsidRPr="00D6323F">
        <w:t>toetat</w:t>
      </w:r>
      <w:r w:rsidR="00875640" w:rsidRPr="00D6323F">
        <w:t>ava eluaseme paiknevus valla</w:t>
      </w:r>
      <w:r w:rsidR="004A6EE3" w:rsidRPr="00D6323F">
        <w:t xml:space="preserve"> territooriumil</w:t>
      </w:r>
      <w:r w:rsidR="00724D66" w:rsidRPr="00D6323F">
        <w:t xml:space="preserve">; </w:t>
      </w:r>
      <w:r w:rsidR="00F65BB7" w:rsidRPr="00D6323F">
        <w:t>2</w:t>
      </w:r>
      <w:r w:rsidR="00724D66" w:rsidRPr="00D6323F">
        <w:t>0%</w:t>
      </w:r>
      <w:r w:rsidR="00D6323F" w:rsidRPr="00D6323F">
        <w:t xml:space="preserve"> koondhindest</w:t>
      </w:r>
    </w:p>
    <w:p w14:paraId="7FE954A5" w14:textId="2A0000AE" w:rsidR="004A6098" w:rsidRPr="00EF5BDE" w:rsidRDefault="00CF6838" w:rsidP="004A6098">
      <w:pPr>
        <w:pStyle w:val="Loendilik"/>
        <w:numPr>
          <w:ilvl w:val="1"/>
          <w:numId w:val="1"/>
        </w:numPr>
        <w:jc w:val="both"/>
      </w:pPr>
      <w:r>
        <w:rPr>
          <w:szCs w:val="24"/>
        </w:rPr>
        <w:t>s</w:t>
      </w:r>
      <w:r w:rsidR="0060325E">
        <w:rPr>
          <w:szCs w:val="24"/>
        </w:rPr>
        <w:t>petsialisti haridus ja/või valdkondlik töökogemus</w:t>
      </w:r>
      <w:r w:rsidR="008625EF" w:rsidRPr="00EF5BDE">
        <w:rPr>
          <w:szCs w:val="24"/>
        </w:rPr>
        <w:t xml:space="preserve">, </w:t>
      </w:r>
      <w:r w:rsidR="00724D66">
        <w:rPr>
          <w:szCs w:val="24"/>
        </w:rPr>
        <w:t>2</w:t>
      </w:r>
      <w:r w:rsidR="008625EF" w:rsidRPr="00EF5BDE">
        <w:rPr>
          <w:szCs w:val="24"/>
        </w:rPr>
        <w:t>0% koondhindest</w:t>
      </w:r>
      <w:r w:rsidR="003B6C17" w:rsidRPr="00EF5BDE">
        <w:rPr>
          <w:szCs w:val="24"/>
        </w:rPr>
        <w:t>;</w:t>
      </w:r>
      <w:r w:rsidR="004A6098" w:rsidRPr="00EF5BDE">
        <w:rPr>
          <w:szCs w:val="24"/>
        </w:rPr>
        <w:t xml:space="preserve"> </w:t>
      </w:r>
    </w:p>
    <w:p w14:paraId="35613800" w14:textId="37DFAEBA" w:rsidR="004A6098" w:rsidRPr="00AA0A49" w:rsidRDefault="006C210A" w:rsidP="004A6098">
      <w:pPr>
        <w:pStyle w:val="Loendilik"/>
        <w:numPr>
          <w:ilvl w:val="1"/>
          <w:numId w:val="1"/>
        </w:numPr>
        <w:jc w:val="both"/>
      </w:pPr>
      <w:r>
        <w:rPr>
          <w:szCs w:val="24"/>
        </w:rPr>
        <w:t>projekti eelarves toodud tegevuste ja kulude põhjendatus</w:t>
      </w:r>
      <w:r w:rsidR="008625EF" w:rsidRPr="00EF5BDE">
        <w:rPr>
          <w:szCs w:val="24"/>
        </w:rPr>
        <w:t>,</w:t>
      </w:r>
      <w:r w:rsidR="008625EF">
        <w:rPr>
          <w:szCs w:val="24"/>
        </w:rPr>
        <w:t xml:space="preserve"> </w:t>
      </w:r>
      <w:r w:rsidR="00F65BB7">
        <w:rPr>
          <w:szCs w:val="24"/>
        </w:rPr>
        <w:t>2</w:t>
      </w:r>
      <w:r w:rsidR="008625EF">
        <w:rPr>
          <w:szCs w:val="24"/>
        </w:rPr>
        <w:t>0% koondhindest</w:t>
      </w:r>
      <w:r w:rsidR="004A6098" w:rsidRPr="00AA0A49">
        <w:rPr>
          <w:szCs w:val="24"/>
        </w:rPr>
        <w:t>;</w:t>
      </w:r>
    </w:p>
    <w:p w14:paraId="61CAF883" w14:textId="77777777" w:rsidR="00A24E7A" w:rsidRDefault="006C210A" w:rsidP="004A6098">
      <w:pPr>
        <w:numPr>
          <w:ilvl w:val="1"/>
          <w:numId w:val="1"/>
        </w:numPr>
        <w:jc w:val="both"/>
      </w:pPr>
      <w:r>
        <w:t>proje</w:t>
      </w:r>
      <w:r w:rsidR="000D60EB">
        <w:t>kti teostatavus ja kindlustatus ressurssidega</w:t>
      </w:r>
      <w:r w:rsidR="00021D9D">
        <w:t xml:space="preserve">, </w:t>
      </w:r>
      <w:r w:rsidR="00D52677">
        <w:t>1</w:t>
      </w:r>
      <w:r w:rsidR="00021D9D">
        <w:t>0% koondhindest</w:t>
      </w:r>
      <w:r w:rsidR="00A24E7A">
        <w:t>;</w:t>
      </w:r>
    </w:p>
    <w:p w14:paraId="78597728" w14:textId="1D21B8DD" w:rsidR="000414A9" w:rsidRDefault="000309C4" w:rsidP="004A6098">
      <w:pPr>
        <w:numPr>
          <w:ilvl w:val="1"/>
          <w:numId w:val="1"/>
        </w:numPr>
        <w:jc w:val="both"/>
      </w:pPr>
      <w:r>
        <w:t>kasusaaja ettevõtte jätkusuutlik ja efektiivne majandamine, lisakriteerium</w:t>
      </w:r>
      <w:r w:rsidR="0074603A">
        <w:t>;</w:t>
      </w:r>
    </w:p>
    <w:p w14:paraId="6DAE2DCA" w14:textId="02C6015E" w:rsidR="004A6098" w:rsidRPr="00AA0A49" w:rsidRDefault="000309C4" w:rsidP="004A6098">
      <w:pPr>
        <w:numPr>
          <w:ilvl w:val="1"/>
          <w:numId w:val="1"/>
        </w:numPr>
        <w:jc w:val="both"/>
      </w:pPr>
      <w:r>
        <w:t xml:space="preserve"> </w:t>
      </w:r>
      <w:r w:rsidR="000414A9">
        <w:t xml:space="preserve">kasusaaja ettevõtte </w:t>
      </w:r>
      <w:r w:rsidR="0074603A">
        <w:t xml:space="preserve">asub Põlva vallas; lisakriteerium. </w:t>
      </w:r>
    </w:p>
    <w:p w14:paraId="4E1F9DC3" w14:textId="5412E1F4" w:rsidR="00792B62" w:rsidRDefault="00792B62" w:rsidP="00952E2C">
      <w:pPr>
        <w:pStyle w:val="Loendilik1"/>
        <w:numPr>
          <w:ilvl w:val="0"/>
          <w:numId w:val="1"/>
        </w:numPr>
        <w:spacing w:after="120" w:line="240" w:lineRule="auto"/>
        <w:jc w:val="both"/>
        <w:rPr>
          <w:rFonts w:ascii="Times New Roman" w:hAnsi="Times New Roman"/>
          <w:sz w:val="24"/>
          <w:szCs w:val="24"/>
        </w:rPr>
      </w:pPr>
      <w:r>
        <w:rPr>
          <w:rFonts w:ascii="Times New Roman" w:hAnsi="Times New Roman"/>
          <w:sz w:val="24"/>
          <w:szCs w:val="24"/>
        </w:rPr>
        <w:t xml:space="preserve">Taotlusi hinnatakse kriteeriumite </w:t>
      </w:r>
      <w:r w:rsidR="00771C2D">
        <w:rPr>
          <w:rFonts w:ascii="Times New Roman" w:hAnsi="Times New Roman"/>
          <w:sz w:val="24"/>
          <w:szCs w:val="24"/>
        </w:rPr>
        <w:t xml:space="preserve">1 ja </w:t>
      </w:r>
      <w:r w:rsidR="003D7487">
        <w:rPr>
          <w:rFonts w:ascii="Times New Roman" w:hAnsi="Times New Roman"/>
          <w:sz w:val="24"/>
          <w:szCs w:val="24"/>
        </w:rPr>
        <w:t>5</w:t>
      </w:r>
      <w:r w:rsidR="00952E2C">
        <w:rPr>
          <w:rFonts w:ascii="Times New Roman" w:hAnsi="Times New Roman"/>
          <w:sz w:val="24"/>
          <w:szCs w:val="24"/>
        </w:rPr>
        <w:t xml:space="preserve"> </w:t>
      </w:r>
      <w:r>
        <w:rPr>
          <w:rFonts w:ascii="Times New Roman" w:hAnsi="Times New Roman"/>
          <w:sz w:val="24"/>
          <w:szCs w:val="24"/>
        </w:rPr>
        <w:t>puhul skaalal 0-4</w:t>
      </w:r>
      <w:r w:rsidR="004D415F">
        <w:rPr>
          <w:rFonts w:ascii="Times New Roman" w:hAnsi="Times New Roman"/>
          <w:sz w:val="24"/>
          <w:szCs w:val="24"/>
        </w:rPr>
        <w:t>.</w:t>
      </w:r>
    </w:p>
    <w:p w14:paraId="07A041DB" w14:textId="77777777" w:rsidR="004A6098" w:rsidRDefault="004A6098" w:rsidP="004A6098">
      <w:pPr>
        <w:pStyle w:val="Loendilik"/>
        <w:numPr>
          <w:ilvl w:val="0"/>
          <w:numId w:val="1"/>
        </w:numPr>
        <w:jc w:val="both"/>
      </w:pPr>
      <w:r w:rsidRPr="00EA618E">
        <w:t>Hindamistulemuste</w:t>
      </w:r>
      <w:r>
        <w:t xml:space="preserve"> alusel koostatakse taotlustest pingerida.</w:t>
      </w:r>
    </w:p>
    <w:p w14:paraId="2A0B124D" w14:textId="1FDE4AD9" w:rsidR="004A6098" w:rsidRDefault="00407162">
      <w:pPr>
        <w:numPr>
          <w:ilvl w:val="0"/>
          <w:numId w:val="1"/>
        </w:numPr>
        <w:jc w:val="both"/>
      </w:pPr>
      <w:r w:rsidRPr="005174FB">
        <w:rPr>
          <w:rFonts w:ascii="Times-Roman" w:hAnsi="Times-Roman" w:cs="Times-Roman"/>
          <w:szCs w:val="24"/>
        </w:rPr>
        <w:t>Taotlusi rahuldatakse pingerea alusel</w:t>
      </w:r>
      <w:r w:rsidR="00B90779" w:rsidRPr="005174FB">
        <w:rPr>
          <w:rFonts w:ascii="Times-Roman" w:hAnsi="Times-Roman" w:cs="Times-Roman"/>
          <w:szCs w:val="24"/>
        </w:rPr>
        <w:t xml:space="preserve"> kohalikule omavalitsusele eraldatud eelarve raames. </w:t>
      </w:r>
      <w:r w:rsidR="00AD635D">
        <w:rPr>
          <w:rFonts w:ascii="Times-Roman" w:hAnsi="Times-Roman" w:cs="Times-Roman"/>
          <w:szCs w:val="24"/>
        </w:rPr>
        <w:t>Taotlu</w:t>
      </w:r>
      <w:r w:rsidR="0084265F">
        <w:rPr>
          <w:rFonts w:ascii="Times-Roman" w:hAnsi="Times-Roman" w:cs="Times-Roman"/>
          <w:szCs w:val="24"/>
        </w:rPr>
        <w:t>s</w:t>
      </w:r>
      <w:r w:rsidR="00A0512C">
        <w:rPr>
          <w:rFonts w:ascii="Times-Roman" w:hAnsi="Times-Roman" w:cs="Times-Roman"/>
          <w:szCs w:val="24"/>
        </w:rPr>
        <w:t>ed</w:t>
      </w:r>
      <w:r w:rsidR="0084265F">
        <w:rPr>
          <w:rFonts w:ascii="Times-Roman" w:hAnsi="Times-Roman" w:cs="Times-Roman"/>
          <w:szCs w:val="24"/>
        </w:rPr>
        <w:t xml:space="preserve">, mis on saanud </w:t>
      </w:r>
      <w:r w:rsidR="003D5EB9">
        <w:rPr>
          <w:rFonts w:ascii="Times-Roman" w:hAnsi="Times-Roman" w:cs="Times-Roman"/>
          <w:szCs w:val="24"/>
        </w:rPr>
        <w:t xml:space="preserve">pingereas </w:t>
      </w:r>
      <w:r w:rsidR="0084265F">
        <w:t>v</w:t>
      </w:r>
      <w:r w:rsidR="004A6098" w:rsidRPr="005174FB">
        <w:t>õrdse</w:t>
      </w:r>
      <w:r w:rsidR="00B13753">
        <w:t>d</w:t>
      </w:r>
      <w:r w:rsidR="004A6098" w:rsidRPr="005174FB">
        <w:t xml:space="preserve"> hi</w:t>
      </w:r>
      <w:r w:rsidR="00B13753">
        <w:t xml:space="preserve">ndepunktid ning kogumahult ületaksid </w:t>
      </w:r>
      <w:r w:rsidR="00B34FEB">
        <w:t xml:space="preserve">eelarvelised vahendid, </w:t>
      </w:r>
      <w:r w:rsidR="004A6098" w:rsidRPr="005174FB">
        <w:t xml:space="preserve"> </w:t>
      </w:r>
      <w:r w:rsidR="0059415E">
        <w:t xml:space="preserve">nende hulgast </w:t>
      </w:r>
      <w:r w:rsidR="00DC741B">
        <w:t xml:space="preserve">otsustatakse toetuse saaja liisu heitmisega. </w:t>
      </w:r>
    </w:p>
    <w:p w14:paraId="2CA70DE7" w14:textId="77777777" w:rsidR="004A6098" w:rsidRDefault="004A6098" w:rsidP="004A6098">
      <w:pPr>
        <w:jc w:val="both"/>
      </w:pPr>
    </w:p>
    <w:p w14:paraId="1FCD2332" w14:textId="77777777" w:rsidR="00036F14" w:rsidRDefault="00036F14" w:rsidP="004A6098">
      <w:pPr>
        <w:jc w:val="both"/>
        <w:rPr>
          <w:b/>
        </w:rPr>
      </w:pPr>
    </w:p>
    <w:p w14:paraId="1BCC0B8F" w14:textId="77777777" w:rsidR="004A6098" w:rsidRDefault="004A6098" w:rsidP="00122DCF">
      <w:pPr>
        <w:keepNext/>
        <w:jc w:val="both"/>
      </w:pPr>
      <w:r w:rsidRPr="006434AD">
        <w:rPr>
          <w:b/>
        </w:rPr>
        <w:t>HINDAMISKRITEERIUMID JA SKAALAD</w:t>
      </w:r>
    </w:p>
    <w:p w14:paraId="7DE430FB" w14:textId="77777777" w:rsidR="004A6098" w:rsidRDefault="004A6098" w:rsidP="00122DCF">
      <w:pPr>
        <w:keepNext/>
      </w:pPr>
    </w:p>
    <w:p w14:paraId="36380AB0" w14:textId="77777777" w:rsidR="004A6098" w:rsidRDefault="004A6098" w:rsidP="004A6098">
      <w:r>
        <w:t>0 – puudulik</w:t>
      </w:r>
    </w:p>
    <w:p w14:paraId="1EFEE55F" w14:textId="77777777" w:rsidR="004A6098" w:rsidRDefault="004A6098" w:rsidP="004A6098">
      <w:r>
        <w:t>1 – nõrk</w:t>
      </w:r>
    </w:p>
    <w:p w14:paraId="33B2226A" w14:textId="77777777" w:rsidR="004A6098" w:rsidRDefault="004A6098" w:rsidP="004A6098">
      <w:r>
        <w:t>2 – keskpärane</w:t>
      </w:r>
    </w:p>
    <w:p w14:paraId="53DEF920" w14:textId="77777777" w:rsidR="004A6098" w:rsidRDefault="004A6098" w:rsidP="004A6098">
      <w:r>
        <w:t>3 – hea</w:t>
      </w:r>
    </w:p>
    <w:p w14:paraId="2C081871" w14:textId="77777777" w:rsidR="004A6098" w:rsidRDefault="004A6098" w:rsidP="004A6098">
      <w:r>
        <w:t>4 – väga hea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1057"/>
        <w:gridCol w:w="376"/>
        <w:gridCol w:w="67"/>
        <w:gridCol w:w="5039"/>
      </w:tblGrid>
      <w:tr w:rsidR="004A6098" w:rsidRPr="006434AD" w14:paraId="550113E3" w14:textId="77777777" w:rsidTr="00B377ED">
        <w:tc>
          <w:tcPr>
            <w:tcW w:w="2323" w:type="dxa"/>
          </w:tcPr>
          <w:p w14:paraId="4D9E7C65" w14:textId="77777777" w:rsidR="004A6098" w:rsidRPr="006434AD" w:rsidRDefault="004A6098" w:rsidP="00B377ED">
            <w:pPr>
              <w:rPr>
                <w:b/>
              </w:rPr>
            </w:pPr>
            <w:r w:rsidRPr="006434AD">
              <w:rPr>
                <w:b/>
              </w:rPr>
              <w:t>Hindamiskriteerium</w:t>
            </w:r>
          </w:p>
        </w:tc>
        <w:tc>
          <w:tcPr>
            <w:tcW w:w="1057" w:type="dxa"/>
          </w:tcPr>
          <w:p w14:paraId="54170442" w14:textId="77777777" w:rsidR="004A6098" w:rsidRPr="006434AD" w:rsidRDefault="004A6098" w:rsidP="00B377ED">
            <w:pPr>
              <w:rPr>
                <w:b/>
              </w:rPr>
            </w:pPr>
            <w:r>
              <w:rPr>
                <w:b/>
              </w:rPr>
              <w:t>O</w:t>
            </w:r>
            <w:r w:rsidRPr="006434AD">
              <w:rPr>
                <w:b/>
              </w:rPr>
              <w:t>sakaal</w:t>
            </w:r>
          </w:p>
        </w:tc>
        <w:tc>
          <w:tcPr>
            <w:tcW w:w="5482" w:type="dxa"/>
            <w:gridSpan w:val="3"/>
          </w:tcPr>
          <w:p w14:paraId="120B4274" w14:textId="77777777" w:rsidR="004A6098" w:rsidRPr="006434AD" w:rsidRDefault="004A6098" w:rsidP="00B377ED">
            <w:pPr>
              <w:rPr>
                <w:b/>
              </w:rPr>
            </w:pPr>
            <w:r w:rsidRPr="006434AD">
              <w:rPr>
                <w:b/>
              </w:rPr>
              <w:t>Hindamiskriteeriumide hindamisaspektid ning väärtuste määratlused</w:t>
            </w:r>
          </w:p>
        </w:tc>
      </w:tr>
      <w:tr w:rsidR="004A6098" w:rsidRPr="00872184" w14:paraId="478B39BB" w14:textId="77777777" w:rsidTr="00B377ED">
        <w:tc>
          <w:tcPr>
            <w:tcW w:w="2323" w:type="dxa"/>
            <w:vMerge w:val="restart"/>
          </w:tcPr>
          <w:p w14:paraId="2564CAB3" w14:textId="77777777" w:rsidR="00FF25C2" w:rsidRDefault="00FF25C2" w:rsidP="00B377ED">
            <w:r>
              <w:t>I kriteerium</w:t>
            </w:r>
          </w:p>
          <w:p w14:paraId="26C109B3" w14:textId="77777777" w:rsidR="00BF045D" w:rsidRDefault="00BF045D" w:rsidP="00B377ED"/>
          <w:p w14:paraId="569DD53E" w14:textId="4B43F8E2" w:rsidR="007A1702" w:rsidRPr="00872184" w:rsidRDefault="00C07EE6" w:rsidP="00B377ED">
            <w:r>
              <w:t xml:space="preserve">Projekti mõju meetme eesmärkide saavutamisele </w:t>
            </w:r>
            <w:r w:rsidR="00560E2A">
              <w:t xml:space="preserve"> </w:t>
            </w:r>
          </w:p>
        </w:tc>
        <w:tc>
          <w:tcPr>
            <w:tcW w:w="1057" w:type="dxa"/>
            <w:vMerge w:val="restart"/>
          </w:tcPr>
          <w:p w14:paraId="000A94BA" w14:textId="3AF282FA" w:rsidR="004A6098" w:rsidRPr="00872184" w:rsidRDefault="00580AB8" w:rsidP="00B377ED">
            <w:r>
              <w:t>3</w:t>
            </w:r>
            <w:r w:rsidR="00A903BD">
              <w:t>0</w:t>
            </w:r>
            <w:r w:rsidR="00F06495">
              <w:t>%</w:t>
            </w:r>
          </w:p>
        </w:tc>
        <w:tc>
          <w:tcPr>
            <w:tcW w:w="5482" w:type="dxa"/>
            <w:gridSpan w:val="3"/>
          </w:tcPr>
          <w:p w14:paraId="30F857F2" w14:textId="77777777" w:rsidR="004A6098" w:rsidRPr="00872184" w:rsidRDefault="004A6098" w:rsidP="00B377ED">
            <w:r w:rsidRPr="00872184">
              <w:t>Hindamisel arvestatakse:</w:t>
            </w:r>
          </w:p>
          <w:p w14:paraId="7E7F18E7" w14:textId="5B710808" w:rsidR="008B1482" w:rsidRDefault="008653F2" w:rsidP="008B1482">
            <w:pPr>
              <w:numPr>
                <w:ilvl w:val="0"/>
                <w:numId w:val="6"/>
              </w:numPr>
            </w:pPr>
            <w:r>
              <w:t>t</w:t>
            </w:r>
            <w:r w:rsidR="00FF1874">
              <w:t>oetuse saaja (spetsialisti)</w:t>
            </w:r>
            <w:r w:rsidR="00794E5A" w:rsidRPr="00794E5A">
              <w:t xml:space="preserve"> mõju </w:t>
            </w:r>
            <w:r w:rsidR="00FF1874">
              <w:t xml:space="preserve">ja olulisus </w:t>
            </w:r>
            <w:r w:rsidR="00794E5A" w:rsidRPr="00794E5A">
              <w:t>spetsialistiga seotud ettevõttele</w:t>
            </w:r>
            <w:r w:rsidR="0093446D">
              <w:t>;</w:t>
            </w:r>
          </w:p>
          <w:p w14:paraId="23F568F3" w14:textId="4EFF773B" w:rsidR="00794E5A" w:rsidRDefault="00366F99" w:rsidP="008B1482">
            <w:pPr>
              <w:numPr>
                <w:ilvl w:val="0"/>
                <w:numId w:val="6"/>
              </w:numPr>
            </w:pPr>
            <w:r>
              <w:t>p</w:t>
            </w:r>
            <w:r w:rsidR="00794E5A" w:rsidRPr="00794E5A">
              <w:t xml:space="preserve">rojekti mõju </w:t>
            </w:r>
            <w:r w:rsidR="00B014DA">
              <w:t xml:space="preserve">maakonna keskmisest </w:t>
            </w:r>
            <w:r w:rsidR="00794E5A" w:rsidRPr="00794E5A">
              <w:t>kõrgema palga</w:t>
            </w:r>
            <w:r w:rsidR="00301F9F">
              <w:t>ga</w:t>
            </w:r>
            <w:r w:rsidR="00794E5A" w:rsidRPr="00794E5A">
              <w:t xml:space="preserve"> töökohtade tekkele </w:t>
            </w:r>
            <w:r w:rsidR="00063804">
              <w:t xml:space="preserve">ja säilimisele </w:t>
            </w:r>
            <w:r w:rsidR="00794E5A" w:rsidRPr="00794E5A">
              <w:t>piirkonnas.</w:t>
            </w:r>
          </w:p>
          <w:p w14:paraId="7A55C59E" w14:textId="54A35326" w:rsidR="00FF1874" w:rsidRPr="0058480E" w:rsidRDefault="00FF1874" w:rsidP="00083D76">
            <w:pPr>
              <w:ind w:left="786"/>
            </w:pPr>
          </w:p>
        </w:tc>
      </w:tr>
      <w:tr w:rsidR="004A6098" w:rsidRPr="00872184" w14:paraId="59D30122" w14:textId="77777777" w:rsidTr="00B377ED">
        <w:trPr>
          <w:trHeight w:val="824"/>
        </w:trPr>
        <w:tc>
          <w:tcPr>
            <w:tcW w:w="2323" w:type="dxa"/>
            <w:vMerge/>
          </w:tcPr>
          <w:p w14:paraId="4332942C" w14:textId="77777777" w:rsidR="004A6098" w:rsidRPr="00872184" w:rsidRDefault="004A6098" w:rsidP="00B377ED"/>
        </w:tc>
        <w:tc>
          <w:tcPr>
            <w:tcW w:w="1057" w:type="dxa"/>
            <w:vMerge/>
          </w:tcPr>
          <w:p w14:paraId="066B42A4" w14:textId="77777777" w:rsidR="004A6098" w:rsidRPr="00872184" w:rsidRDefault="004A6098" w:rsidP="00B377ED"/>
        </w:tc>
        <w:tc>
          <w:tcPr>
            <w:tcW w:w="376" w:type="dxa"/>
          </w:tcPr>
          <w:p w14:paraId="5BE83B35" w14:textId="6276AA97" w:rsidR="004A6098" w:rsidRPr="00872184" w:rsidRDefault="0093446D" w:rsidP="00B377ED">
            <w:r>
              <w:t>4</w:t>
            </w:r>
          </w:p>
        </w:tc>
        <w:tc>
          <w:tcPr>
            <w:tcW w:w="5106" w:type="dxa"/>
            <w:gridSpan w:val="2"/>
          </w:tcPr>
          <w:p w14:paraId="63946DFD" w14:textId="3365196D" w:rsidR="0093446D" w:rsidRDefault="0093446D" w:rsidP="00827C6E">
            <w:pPr>
              <w:autoSpaceDE w:val="0"/>
              <w:autoSpaceDN w:val="0"/>
              <w:adjustRightInd w:val="0"/>
              <w:rPr>
                <w:rFonts w:ascii="Times-Roman" w:hAnsi="Times-Roman" w:cs="Times-Roman"/>
                <w:szCs w:val="24"/>
              </w:rPr>
            </w:pPr>
            <w:r w:rsidRPr="0093446D">
              <w:rPr>
                <w:rFonts w:ascii="Times-Roman" w:hAnsi="Times-Roman" w:cs="Times-Roman"/>
                <w:szCs w:val="24"/>
              </w:rPr>
              <w:t>Projekt vastab täielikult meetme eesmärkidele. Spetsialisti vajalikkus ettevõttele on selgelt välja toodud ja põhjendatud. Spetsialisti eriteadmiste mõju ettevõtte ja seeläbi piirkonna majandusarengule on kirjeldatud. Teadaolev kasusaaja ettevõte on loonud uue või säilitab olemasoleva töökoha, mille keskmine palk on maakonna keskmisega võrreldes vähemalt 20% kõrgem (vastavalt Statistikaameti andmetele).</w:t>
            </w:r>
          </w:p>
          <w:p w14:paraId="488D402A" w14:textId="77777777" w:rsidR="0093446D" w:rsidRDefault="0093446D" w:rsidP="0053533C">
            <w:pPr>
              <w:autoSpaceDE w:val="0"/>
              <w:autoSpaceDN w:val="0"/>
              <w:adjustRightInd w:val="0"/>
              <w:rPr>
                <w:rFonts w:ascii="Times-Roman" w:hAnsi="Times-Roman" w:cs="Times-Roman"/>
                <w:szCs w:val="24"/>
              </w:rPr>
            </w:pPr>
          </w:p>
          <w:p w14:paraId="2D34B365" w14:textId="77777777" w:rsidR="004A6098" w:rsidRPr="00A471F6" w:rsidRDefault="004A6098" w:rsidP="0093446D">
            <w:pPr>
              <w:autoSpaceDE w:val="0"/>
              <w:autoSpaceDN w:val="0"/>
              <w:adjustRightInd w:val="0"/>
              <w:rPr>
                <w:rFonts w:ascii="Times-Roman" w:hAnsi="Times-Roman" w:cs="Times-Roman"/>
                <w:strike/>
                <w:szCs w:val="24"/>
              </w:rPr>
            </w:pPr>
          </w:p>
        </w:tc>
      </w:tr>
      <w:tr w:rsidR="004A6098" w:rsidRPr="00872184" w14:paraId="5DF5BCE7" w14:textId="77777777" w:rsidTr="00B377ED">
        <w:tc>
          <w:tcPr>
            <w:tcW w:w="2323" w:type="dxa"/>
            <w:vMerge/>
          </w:tcPr>
          <w:p w14:paraId="0EDF4E38" w14:textId="77777777" w:rsidR="004A6098" w:rsidRPr="00872184" w:rsidRDefault="004A6098" w:rsidP="00B377ED"/>
        </w:tc>
        <w:tc>
          <w:tcPr>
            <w:tcW w:w="1057" w:type="dxa"/>
            <w:vMerge/>
          </w:tcPr>
          <w:p w14:paraId="27C87E28" w14:textId="77777777" w:rsidR="004A6098" w:rsidRPr="00872184" w:rsidRDefault="004A6098" w:rsidP="00B377ED"/>
        </w:tc>
        <w:tc>
          <w:tcPr>
            <w:tcW w:w="376" w:type="dxa"/>
          </w:tcPr>
          <w:p w14:paraId="519C86C4" w14:textId="474A86BA" w:rsidR="004A6098" w:rsidRPr="00872184" w:rsidRDefault="0093446D" w:rsidP="00B377ED">
            <w:r>
              <w:t>3</w:t>
            </w:r>
          </w:p>
        </w:tc>
        <w:tc>
          <w:tcPr>
            <w:tcW w:w="5106" w:type="dxa"/>
            <w:gridSpan w:val="2"/>
          </w:tcPr>
          <w:p w14:paraId="7CEAFCEB" w14:textId="60F37162" w:rsidR="004A6098" w:rsidRPr="00872184" w:rsidRDefault="003C4DCD" w:rsidP="00B377ED">
            <w:r w:rsidRPr="003C4DCD">
              <w:t>Projekt vastab meetme eesmärkidele. Spetsialisti vajalikkus on välja toodud</w:t>
            </w:r>
            <w:r w:rsidR="009D4BCF">
              <w:t xml:space="preserve"> ja</w:t>
            </w:r>
            <w:r w:rsidRPr="003C4DCD">
              <w:t xml:space="preserve"> põhjendatud</w:t>
            </w:r>
            <w:r w:rsidR="00AE4B9A">
              <w:t>.</w:t>
            </w:r>
            <w:r w:rsidR="009D4BCF">
              <w:t xml:space="preserve"> </w:t>
            </w:r>
            <w:r w:rsidR="001D75A6">
              <w:t>K</w:t>
            </w:r>
            <w:r w:rsidRPr="003C4DCD">
              <w:t xml:space="preserve">asusaaja ettevõte on loonud uue või säilitab </w:t>
            </w:r>
            <w:r w:rsidRPr="003C4DCD">
              <w:lastRenderedPageBreak/>
              <w:t>olemasoleva töökoha, mille keskmine palk on maakonna keskmisega võrreldes vähemalt 1</w:t>
            </w:r>
            <w:r w:rsidR="00D06EBD">
              <w:t>5</w:t>
            </w:r>
            <w:r w:rsidRPr="003C4DCD">
              <w:t>% kõrgem (vastavalt Statistikaameti andmetele).</w:t>
            </w:r>
          </w:p>
        </w:tc>
      </w:tr>
      <w:tr w:rsidR="004A6098" w:rsidRPr="00872184" w:rsidDel="005C5F1B" w14:paraId="0FD730EA" w14:textId="77777777" w:rsidTr="00B377ED">
        <w:tc>
          <w:tcPr>
            <w:tcW w:w="2323" w:type="dxa"/>
            <w:vMerge/>
          </w:tcPr>
          <w:p w14:paraId="375CDBBC" w14:textId="77777777" w:rsidR="004A6098" w:rsidRPr="00872184" w:rsidRDefault="004A6098" w:rsidP="00B377ED"/>
        </w:tc>
        <w:tc>
          <w:tcPr>
            <w:tcW w:w="1057" w:type="dxa"/>
            <w:vMerge/>
          </w:tcPr>
          <w:p w14:paraId="006691C5" w14:textId="77777777" w:rsidR="004A6098" w:rsidRPr="00872184" w:rsidRDefault="004A6098" w:rsidP="00B377ED"/>
        </w:tc>
        <w:tc>
          <w:tcPr>
            <w:tcW w:w="376" w:type="dxa"/>
          </w:tcPr>
          <w:p w14:paraId="79F2D734" w14:textId="633FCABB" w:rsidR="004A6098" w:rsidRPr="00872184" w:rsidRDefault="0093446D" w:rsidP="00B377ED">
            <w:r>
              <w:t>2</w:t>
            </w:r>
          </w:p>
        </w:tc>
        <w:tc>
          <w:tcPr>
            <w:tcW w:w="5106" w:type="dxa"/>
            <w:gridSpan w:val="2"/>
          </w:tcPr>
          <w:p w14:paraId="7820728B" w14:textId="4733E907" w:rsidR="004A6098" w:rsidRPr="004E4826" w:rsidDel="005C5F1B" w:rsidRDefault="00E1417C" w:rsidP="00447293">
            <w:pPr>
              <w:autoSpaceDE w:val="0"/>
              <w:autoSpaceDN w:val="0"/>
              <w:adjustRightInd w:val="0"/>
              <w:rPr>
                <w:rFonts w:ascii="Times-Roman" w:hAnsi="Times-Roman" w:cs="Times-Roman"/>
                <w:szCs w:val="24"/>
              </w:rPr>
            </w:pPr>
            <w:r w:rsidRPr="00E1417C">
              <w:rPr>
                <w:rFonts w:ascii="Times-Roman" w:hAnsi="Times-Roman" w:cs="Times-Roman"/>
                <w:szCs w:val="24"/>
              </w:rPr>
              <w:t xml:space="preserve">Projekt vastab </w:t>
            </w:r>
            <w:r>
              <w:rPr>
                <w:rFonts w:ascii="Times-Roman" w:hAnsi="Times-Roman" w:cs="Times-Roman"/>
                <w:szCs w:val="24"/>
              </w:rPr>
              <w:t xml:space="preserve">üldjoontes </w:t>
            </w:r>
            <w:r w:rsidRPr="00E1417C">
              <w:rPr>
                <w:rFonts w:ascii="Times-Roman" w:hAnsi="Times-Roman" w:cs="Times-Roman"/>
                <w:szCs w:val="24"/>
              </w:rPr>
              <w:t>meetme eesmärkidele. Spetsialisti vajalikkus on välja toodud ja põhjendatud. Kasusaaja ettevõte on loonud uue või säilitab olemasoleva töökoha, mille keskmine palk on maakonna keskmisega võrreldes vähemalt 1</w:t>
            </w:r>
            <w:r w:rsidR="00BA176C">
              <w:rPr>
                <w:rFonts w:ascii="Times-Roman" w:hAnsi="Times-Roman" w:cs="Times-Roman"/>
                <w:szCs w:val="24"/>
              </w:rPr>
              <w:t>0</w:t>
            </w:r>
            <w:r w:rsidRPr="00E1417C">
              <w:rPr>
                <w:rFonts w:ascii="Times-Roman" w:hAnsi="Times-Roman" w:cs="Times-Roman"/>
                <w:szCs w:val="24"/>
              </w:rPr>
              <w:t>% kõrgem (vastavalt Statistikaameti andmetele).</w:t>
            </w:r>
          </w:p>
        </w:tc>
      </w:tr>
      <w:tr w:rsidR="004A6098" w:rsidRPr="00872184" w14:paraId="2777354E" w14:textId="77777777" w:rsidTr="00B377ED">
        <w:tc>
          <w:tcPr>
            <w:tcW w:w="2323" w:type="dxa"/>
            <w:vMerge/>
          </w:tcPr>
          <w:p w14:paraId="4D7C4292" w14:textId="77777777" w:rsidR="004A6098" w:rsidRPr="00872184" w:rsidRDefault="004A6098" w:rsidP="00B377ED"/>
        </w:tc>
        <w:tc>
          <w:tcPr>
            <w:tcW w:w="1057" w:type="dxa"/>
            <w:vMerge/>
          </w:tcPr>
          <w:p w14:paraId="3312B268" w14:textId="77777777" w:rsidR="004A6098" w:rsidRPr="00872184" w:rsidRDefault="004A6098" w:rsidP="00B377ED"/>
        </w:tc>
        <w:tc>
          <w:tcPr>
            <w:tcW w:w="376" w:type="dxa"/>
          </w:tcPr>
          <w:p w14:paraId="6F5311AD" w14:textId="41787A5A" w:rsidR="004A6098" w:rsidRPr="00872184" w:rsidRDefault="0093446D" w:rsidP="00B377ED">
            <w:r>
              <w:t>1</w:t>
            </w:r>
          </w:p>
        </w:tc>
        <w:tc>
          <w:tcPr>
            <w:tcW w:w="5106" w:type="dxa"/>
            <w:gridSpan w:val="2"/>
          </w:tcPr>
          <w:p w14:paraId="60DA0824" w14:textId="27624E03" w:rsidR="004A6098" w:rsidRPr="00872184" w:rsidRDefault="007D3804" w:rsidP="00B377ED">
            <w:r w:rsidRPr="007D3804">
              <w:t xml:space="preserve">Projekt vastab üldjoontes </w:t>
            </w:r>
            <w:r>
              <w:t xml:space="preserve">või vastab osaliselt </w:t>
            </w:r>
            <w:r w:rsidRPr="007D3804">
              <w:t>meetme eesmärkidele. Kasusaaja ettevõte on loonud uue või säilitab olemasoleva töökoha, mille keskmine palk on</w:t>
            </w:r>
            <w:r w:rsidR="00851EDC">
              <w:t xml:space="preserve"> </w:t>
            </w:r>
            <w:r w:rsidR="00BA7D92">
              <w:t xml:space="preserve">maakonna keskmisega võrreldes </w:t>
            </w:r>
            <w:r w:rsidR="00851EDC">
              <w:t xml:space="preserve">vähemalt </w:t>
            </w:r>
            <w:r w:rsidR="006A7B17">
              <w:t xml:space="preserve">5% kõrgem </w:t>
            </w:r>
            <w:r w:rsidRPr="007D3804">
              <w:t xml:space="preserve"> (vastavalt Statistikaameti andmetele).</w:t>
            </w:r>
          </w:p>
        </w:tc>
      </w:tr>
      <w:tr w:rsidR="004A6098" w:rsidRPr="00872184" w14:paraId="21BBE2DA" w14:textId="77777777" w:rsidTr="00B377ED">
        <w:tc>
          <w:tcPr>
            <w:tcW w:w="2323" w:type="dxa"/>
            <w:vMerge/>
          </w:tcPr>
          <w:p w14:paraId="2344BE37" w14:textId="77777777" w:rsidR="004A6098" w:rsidRPr="00872184" w:rsidRDefault="004A6098" w:rsidP="00B377ED"/>
        </w:tc>
        <w:tc>
          <w:tcPr>
            <w:tcW w:w="1057" w:type="dxa"/>
            <w:vMerge/>
          </w:tcPr>
          <w:p w14:paraId="1F420565" w14:textId="77777777" w:rsidR="004A6098" w:rsidRPr="00872184" w:rsidRDefault="004A6098" w:rsidP="00B377ED"/>
        </w:tc>
        <w:tc>
          <w:tcPr>
            <w:tcW w:w="376" w:type="dxa"/>
          </w:tcPr>
          <w:p w14:paraId="42D5BD1F" w14:textId="17085C25" w:rsidR="004A6098" w:rsidRPr="00872184" w:rsidRDefault="0093446D" w:rsidP="00B377ED">
            <w:r>
              <w:t>0</w:t>
            </w:r>
          </w:p>
        </w:tc>
        <w:tc>
          <w:tcPr>
            <w:tcW w:w="5106" w:type="dxa"/>
            <w:gridSpan w:val="2"/>
          </w:tcPr>
          <w:p w14:paraId="52ABBE99" w14:textId="7BD9BE44" w:rsidR="004A6098" w:rsidRPr="004E4826" w:rsidRDefault="00F16356" w:rsidP="00B377ED">
            <w:pPr>
              <w:autoSpaceDE w:val="0"/>
              <w:autoSpaceDN w:val="0"/>
              <w:adjustRightInd w:val="0"/>
              <w:rPr>
                <w:rFonts w:ascii="Times-Roman" w:hAnsi="Times-Roman" w:cs="Times-Roman"/>
                <w:szCs w:val="24"/>
              </w:rPr>
            </w:pPr>
            <w:r>
              <w:rPr>
                <w:rFonts w:ascii="Times-Roman" w:hAnsi="Times-Roman" w:cs="Times-Roman"/>
                <w:szCs w:val="24"/>
              </w:rPr>
              <w:t>Projekt vastab osaliselt meetme eesmärkidel</w:t>
            </w:r>
            <w:r w:rsidR="0089650F">
              <w:rPr>
                <w:rFonts w:ascii="Times-Roman" w:hAnsi="Times-Roman" w:cs="Times-Roman"/>
                <w:szCs w:val="24"/>
              </w:rPr>
              <w:t xml:space="preserve">e. </w:t>
            </w:r>
            <w:r w:rsidR="0089650F" w:rsidRPr="0089650F">
              <w:rPr>
                <w:rFonts w:ascii="Times-Roman" w:hAnsi="Times-Roman" w:cs="Times-Roman"/>
                <w:szCs w:val="24"/>
              </w:rPr>
              <w:t>Kasusaaja ettevõte on loonud uue või säilitab olemasoleva töökoha, mille keskmine palk on   maakonna keskmise</w:t>
            </w:r>
            <w:r w:rsidR="006617FC">
              <w:rPr>
                <w:rFonts w:ascii="Times-Roman" w:hAnsi="Times-Roman" w:cs="Times-Roman"/>
                <w:szCs w:val="24"/>
              </w:rPr>
              <w:t>st</w:t>
            </w:r>
            <w:r w:rsidR="0089650F" w:rsidRPr="0089650F">
              <w:rPr>
                <w:rFonts w:ascii="Times-Roman" w:hAnsi="Times-Roman" w:cs="Times-Roman"/>
                <w:szCs w:val="24"/>
              </w:rPr>
              <w:t xml:space="preserve"> </w:t>
            </w:r>
            <w:r w:rsidR="00947CED">
              <w:rPr>
                <w:rFonts w:ascii="Times-Roman" w:hAnsi="Times-Roman" w:cs="Times-Roman"/>
                <w:szCs w:val="24"/>
              </w:rPr>
              <w:t xml:space="preserve">suurem vähem kui 5% </w:t>
            </w:r>
            <w:r w:rsidR="0089650F" w:rsidRPr="0089650F">
              <w:rPr>
                <w:rFonts w:ascii="Times-Roman" w:hAnsi="Times-Roman" w:cs="Times-Roman"/>
                <w:szCs w:val="24"/>
              </w:rPr>
              <w:t>(vastavalt Statistikaameti andmetele).</w:t>
            </w:r>
          </w:p>
        </w:tc>
      </w:tr>
      <w:tr w:rsidR="001422D1" w14:paraId="5C8CDCBA" w14:textId="77777777" w:rsidTr="00B377ED">
        <w:tc>
          <w:tcPr>
            <w:tcW w:w="2323" w:type="dxa"/>
            <w:vMerge w:val="restart"/>
          </w:tcPr>
          <w:p w14:paraId="4497172D" w14:textId="77777777" w:rsidR="001422D1" w:rsidRDefault="001422D1" w:rsidP="00B377ED">
            <w:r>
              <w:t>II kriteerium</w:t>
            </w:r>
          </w:p>
          <w:p w14:paraId="67DA3B91" w14:textId="77777777" w:rsidR="00CA1B13" w:rsidRDefault="00CA1B13" w:rsidP="00B377ED"/>
          <w:p w14:paraId="5E05F686" w14:textId="026E9041" w:rsidR="00CA1B13" w:rsidRDefault="00D827DF" w:rsidP="00B377ED">
            <w:r>
              <w:t xml:space="preserve">Eluaseme paiknevus </w:t>
            </w:r>
            <w:r w:rsidR="000E1400">
              <w:t>valla territooriumil</w:t>
            </w:r>
          </w:p>
        </w:tc>
        <w:tc>
          <w:tcPr>
            <w:tcW w:w="1057" w:type="dxa"/>
            <w:vMerge w:val="restart"/>
          </w:tcPr>
          <w:p w14:paraId="25CF59EF" w14:textId="0DED819E" w:rsidR="001422D1" w:rsidRDefault="001422D1" w:rsidP="00B377ED">
            <w:r>
              <w:t>20%</w:t>
            </w:r>
          </w:p>
        </w:tc>
        <w:tc>
          <w:tcPr>
            <w:tcW w:w="5482" w:type="dxa"/>
            <w:gridSpan w:val="3"/>
          </w:tcPr>
          <w:p w14:paraId="46302566" w14:textId="77777777" w:rsidR="001422D1" w:rsidRDefault="001422D1" w:rsidP="00B377ED">
            <w:r>
              <w:t>Hindamisel arvestatakse:</w:t>
            </w:r>
          </w:p>
          <w:p w14:paraId="1B2C2A8B" w14:textId="7F4C0CF1" w:rsidR="001422D1" w:rsidRDefault="001422D1" w:rsidP="0053684D">
            <w:pPr>
              <w:pStyle w:val="Loendilik"/>
              <w:numPr>
                <w:ilvl w:val="0"/>
                <w:numId w:val="14"/>
              </w:numPr>
            </w:pPr>
            <w:r>
              <w:t>toetatava eluaseme paiknevus Põlva valla territooriumil.</w:t>
            </w:r>
          </w:p>
          <w:p w14:paraId="1EB9E4D7" w14:textId="59F15D07" w:rsidR="001422D1" w:rsidRPr="00E74C0C" w:rsidRDefault="001422D1" w:rsidP="001422D1"/>
        </w:tc>
      </w:tr>
      <w:tr w:rsidR="001422D1" w14:paraId="7722AC20" w14:textId="77777777" w:rsidTr="00AC374D">
        <w:tc>
          <w:tcPr>
            <w:tcW w:w="2323" w:type="dxa"/>
            <w:vMerge/>
          </w:tcPr>
          <w:p w14:paraId="1070C589" w14:textId="77777777" w:rsidR="001422D1" w:rsidRDefault="001422D1" w:rsidP="00B377ED"/>
        </w:tc>
        <w:tc>
          <w:tcPr>
            <w:tcW w:w="1057" w:type="dxa"/>
            <w:vMerge/>
          </w:tcPr>
          <w:p w14:paraId="5156DAC8" w14:textId="77777777" w:rsidR="001422D1" w:rsidRDefault="001422D1" w:rsidP="00B377ED"/>
        </w:tc>
        <w:tc>
          <w:tcPr>
            <w:tcW w:w="443" w:type="dxa"/>
            <w:gridSpan w:val="2"/>
          </w:tcPr>
          <w:p w14:paraId="14D38BC8" w14:textId="799D377C" w:rsidR="001422D1" w:rsidRDefault="001422D1" w:rsidP="00B377ED">
            <w:r>
              <w:t>4</w:t>
            </w:r>
          </w:p>
        </w:tc>
        <w:tc>
          <w:tcPr>
            <w:tcW w:w="5039" w:type="dxa"/>
          </w:tcPr>
          <w:p w14:paraId="0C140579" w14:textId="122D9441" w:rsidR="001422D1" w:rsidRDefault="001422D1" w:rsidP="00B377ED">
            <w:r>
              <w:rPr>
                <w:szCs w:val="24"/>
              </w:rPr>
              <w:t xml:space="preserve">Projektiga toetatav eluase paikneb </w:t>
            </w:r>
            <w:proofErr w:type="spellStart"/>
            <w:r>
              <w:rPr>
                <w:szCs w:val="24"/>
              </w:rPr>
              <w:t>hajaasustuses</w:t>
            </w:r>
            <w:proofErr w:type="spellEnd"/>
          </w:p>
        </w:tc>
      </w:tr>
      <w:tr w:rsidR="001422D1" w14:paraId="463EFCC6" w14:textId="77777777" w:rsidTr="00AC374D">
        <w:tc>
          <w:tcPr>
            <w:tcW w:w="2323" w:type="dxa"/>
            <w:vMerge/>
          </w:tcPr>
          <w:p w14:paraId="75471D76" w14:textId="77777777" w:rsidR="001422D1" w:rsidRDefault="001422D1" w:rsidP="00B377ED"/>
        </w:tc>
        <w:tc>
          <w:tcPr>
            <w:tcW w:w="1057" w:type="dxa"/>
            <w:vMerge/>
          </w:tcPr>
          <w:p w14:paraId="444225F0" w14:textId="77777777" w:rsidR="001422D1" w:rsidRDefault="001422D1" w:rsidP="00B377ED"/>
        </w:tc>
        <w:tc>
          <w:tcPr>
            <w:tcW w:w="443" w:type="dxa"/>
            <w:gridSpan w:val="2"/>
          </w:tcPr>
          <w:p w14:paraId="38B63B95" w14:textId="3FB3D1B7" w:rsidR="001422D1" w:rsidRDefault="001422D1" w:rsidP="00B377ED">
            <w:r>
              <w:t>3</w:t>
            </w:r>
          </w:p>
        </w:tc>
        <w:tc>
          <w:tcPr>
            <w:tcW w:w="5039" w:type="dxa"/>
          </w:tcPr>
          <w:p w14:paraId="4218A356" w14:textId="502594DA" w:rsidR="001422D1" w:rsidRDefault="001422D1" w:rsidP="00B377ED">
            <w:pPr>
              <w:rPr>
                <w:szCs w:val="24"/>
              </w:rPr>
            </w:pPr>
            <w:r w:rsidRPr="001422D1">
              <w:rPr>
                <w:szCs w:val="24"/>
              </w:rPr>
              <w:t>Projektiga toetatav elusase paikneb tiheasustusalal</w:t>
            </w:r>
            <w:r w:rsidR="00E14BC7">
              <w:rPr>
                <w:szCs w:val="24"/>
              </w:rPr>
              <w:t xml:space="preserve"> </w:t>
            </w:r>
            <w:r w:rsidR="00441671">
              <w:rPr>
                <w:szCs w:val="24"/>
              </w:rPr>
              <w:t>(v.a. Põlva linnaga piirnev tiheasustus ala)</w:t>
            </w:r>
          </w:p>
        </w:tc>
      </w:tr>
      <w:tr w:rsidR="001422D1" w14:paraId="188864F5" w14:textId="77777777" w:rsidTr="00AC374D">
        <w:tc>
          <w:tcPr>
            <w:tcW w:w="2323" w:type="dxa"/>
            <w:vMerge/>
          </w:tcPr>
          <w:p w14:paraId="18C8F35B" w14:textId="77777777" w:rsidR="001422D1" w:rsidRDefault="001422D1" w:rsidP="00B377ED"/>
        </w:tc>
        <w:tc>
          <w:tcPr>
            <w:tcW w:w="1057" w:type="dxa"/>
            <w:vMerge/>
          </w:tcPr>
          <w:p w14:paraId="702CBA4E" w14:textId="77777777" w:rsidR="001422D1" w:rsidRDefault="001422D1" w:rsidP="00B377ED"/>
        </w:tc>
        <w:tc>
          <w:tcPr>
            <w:tcW w:w="443" w:type="dxa"/>
            <w:gridSpan w:val="2"/>
          </w:tcPr>
          <w:p w14:paraId="7EF430C7" w14:textId="708135CA" w:rsidR="001422D1" w:rsidRDefault="001422D1" w:rsidP="00B377ED">
            <w:r>
              <w:t>2</w:t>
            </w:r>
          </w:p>
        </w:tc>
        <w:tc>
          <w:tcPr>
            <w:tcW w:w="5039" w:type="dxa"/>
          </w:tcPr>
          <w:p w14:paraId="7900389A" w14:textId="160E2781" w:rsidR="001422D1" w:rsidRPr="001422D1" w:rsidRDefault="001422D1" w:rsidP="00B377ED">
            <w:r>
              <w:t>Projektiga toetatav eluase paikneb alevikus</w:t>
            </w:r>
            <w:r w:rsidRPr="00B5511E">
              <w:t>.</w:t>
            </w:r>
          </w:p>
        </w:tc>
      </w:tr>
      <w:tr w:rsidR="001422D1" w14:paraId="5E0E031E" w14:textId="77777777" w:rsidTr="00AC374D">
        <w:tc>
          <w:tcPr>
            <w:tcW w:w="2323" w:type="dxa"/>
            <w:vMerge/>
          </w:tcPr>
          <w:p w14:paraId="1B640C14" w14:textId="77777777" w:rsidR="001422D1" w:rsidRDefault="001422D1" w:rsidP="00B377ED"/>
        </w:tc>
        <w:tc>
          <w:tcPr>
            <w:tcW w:w="1057" w:type="dxa"/>
            <w:vMerge/>
          </w:tcPr>
          <w:p w14:paraId="683019C1" w14:textId="77777777" w:rsidR="001422D1" w:rsidRDefault="001422D1" w:rsidP="00B377ED"/>
        </w:tc>
        <w:tc>
          <w:tcPr>
            <w:tcW w:w="443" w:type="dxa"/>
            <w:gridSpan w:val="2"/>
          </w:tcPr>
          <w:p w14:paraId="1858EDB0" w14:textId="27F97E32" w:rsidR="001422D1" w:rsidRDefault="001422D1" w:rsidP="00B377ED">
            <w:r>
              <w:t>1</w:t>
            </w:r>
          </w:p>
        </w:tc>
        <w:tc>
          <w:tcPr>
            <w:tcW w:w="5039" w:type="dxa"/>
          </w:tcPr>
          <w:p w14:paraId="26A333FC" w14:textId="4CCC479C" w:rsidR="001422D1" w:rsidRDefault="001422D1" w:rsidP="00B377ED">
            <w:pPr>
              <w:rPr>
                <w:szCs w:val="24"/>
              </w:rPr>
            </w:pPr>
            <w:r>
              <w:t>Projektiga toetatav eluase paikneb Põlva linna</w:t>
            </w:r>
            <w:r w:rsidR="003F6272">
              <w:t>ga piirnev</w:t>
            </w:r>
            <w:r w:rsidR="00A561C0">
              <w:t>al tiheasustus</w:t>
            </w:r>
            <w:r w:rsidR="0062528F">
              <w:t xml:space="preserve">alal </w:t>
            </w:r>
          </w:p>
        </w:tc>
      </w:tr>
      <w:tr w:rsidR="001422D1" w14:paraId="34EB3DEF" w14:textId="77777777" w:rsidTr="00AC374D">
        <w:tc>
          <w:tcPr>
            <w:tcW w:w="2323" w:type="dxa"/>
            <w:vMerge/>
          </w:tcPr>
          <w:p w14:paraId="201A4E33" w14:textId="77777777" w:rsidR="001422D1" w:rsidRDefault="001422D1" w:rsidP="00B377ED"/>
        </w:tc>
        <w:tc>
          <w:tcPr>
            <w:tcW w:w="1057" w:type="dxa"/>
            <w:vMerge/>
          </w:tcPr>
          <w:p w14:paraId="2C36C156" w14:textId="77777777" w:rsidR="001422D1" w:rsidRDefault="001422D1" w:rsidP="00B377ED"/>
        </w:tc>
        <w:tc>
          <w:tcPr>
            <w:tcW w:w="443" w:type="dxa"/>
            <w:gridSpan w:val="2"/>
          </w:tcPr>
          <w:p w14:paraId="4BA3CCAB" w14:textId="296B08BA" w:rsidR="001422D1" w:rsidRDefault="001422D1" w:rsidP="00B377ED">
            <w:r>
              <w:t>0</w:t>
            </w:r>
          </w:p>
        </w:tc>
        <w:tc>
          <w:tcPr>
            <w:tcW w:w="5039" w:type="dxa"/>
          </w:tcPr>
          <w:p w14:paraId="65EFA073" w14:textId="43746975" w:rsidR="001422D1" w:rsidRPr="001422D1" w:rsidRDefault="001422D1" w:rsidP="00B377ED">
            <w:r>
              <w:t xml:space="preserve">Projektiga toetatav eluase paikneb Põlva linnas </w:t>
            </w:r>
          </w:p>
        </w:tc>
      </w:tr>
      <w:tr w:rsidR="004A6098" w14:paraId="71778FD5" w14:textId="77777777" w:rsidTr="00B377ED">
        <w:tc>
          <w:tcPr>
            <w:tcW w:w="2323" w:type="dxa"/>
            <w:vMerge w:val="restart"/>
          </w:tcPr>
          <w:p w14:paraId="3FFA94EB" w14:textId="768E4C6B" w:rsidR="00FF25C2" w:rsidRDefault="00FF25C2" w:rsidP="00B377ED">
            <w:r>
              <w:t>II</w:t>
            </w:r>
            <w:r w:rsidR="00F96D41">
              <w:t>I</w:t>
            </w:r>
            <w:r>
              <w:t xml:space="preserve"> kriteerium</w:t>
            </w:r>
          </w:p>
          <w:p w14:paraId="0B2FDF67" w14:textId="77777777" w:rsidR="00BF045D" w:rsidRDefault="00BF045D" w:rsidP="00B377ED"/>
          <w:p w14:paraId="257E1368" w14:textId="63074831" w:rsidR="00E82C3A" w:rsidRDefault="009831ED" w:rsidP="00826B64">
            <w:r>
              <w:t>Spetsialisti haridus ja/või valdkondlik töökogemus</w:t>
            </w:r>
          </w:p>
        </w:tc>
        <w:tc>
          <w:tcPr>
            <w:tcW w:w="1057" w:type="dxa"/>
            <w:vMerge w:val="restart"/>
          </w:tcPr>
          <w:p w14:paraId="70BB313A" w14:textId="65D52978" w:rsidR="004A6098" w:rsidRDefault="00F664CC" w:rsidP="00B377ED">
            <w:r>
              <w:t>2</w:t>
            </w:r>
            <w:r w:rsidR="00A903BD">
              <w:t>0</w:t>
            </w:r>
            <w:r w:rsidR="002316BD">
              <w:t>%</w:t>
            </w:r>
          </w:p>
        </w:tc>
        <w:tc>
          <w:tcPr>
            <w:tcW w:w="5482" w:type="dxa"/>
            <w:gridSpan w:val="3"/>
          </w:tcPr>
          <w:p w14:paraId="585C83F7" w14:textId="77777777" w:rsidR="004A6098" w:rsidRPr="00E74C0C" w:rsidRDefault="004A6098" w:rsidP="00B377ED">
            <w:r w:rsidRPr="00E74C0C">
              <w:t>Hindamisel arvestatakse:</w:t>
            </w:r>
          </w:p>
          <w:p w14:paraId="15D8A440" w14:textId="666ACCFC" w:rsidR="008653F2" w:rsidRDefault="00F84D12" w:rsidP="008653F2">
            <w:pPr>
              <w:pStyle w:val="Loendilik"/>
              <w:numPr>
                <w:ilvl w:val="0"/>
                <w:numId w:val="9"/>
              </w:numPr>
            </w:pPr>
            <w:r w:rsidRPr="00F84D12">
              <w:t>spetsialisti erialase kõrg- või kutsehariduse ning erialase töökogemuse olemasolu</w:t>
            </w:r>
            <w:r w:rsidR="00366F99">
              <w:t>;</w:t>
            </w:r>
            <w:r w:rsidRPr="00F84D12">
              <w:t xml:space="preserve"> </w:t>
            </w:r>
          </w:p>
          <w:p w14:paraId="17429C6C" w14:textId="1695A79E" w:rsidR="00EF5BDE" w:rsidRPr="00E74C0C" w:rsidRDefault="00366F99" w:rsidP="00366F99">
            <w:pPr>
              <w:pStyle w:val="Loendilik"/>
              <w:numPr>
                <w:ilvl w:val="0"/>
                <w:numId w:val="9"/>
              </w:numPr>
            </w:pPr>
            <w:r>
              <w:t>t</w:t>
            </w:r>
            <w:r w:rsidR="00F84D12" w:rsidRPr="00F84D12">
              <w:t>aotleja teadmiste ja oskuste vastavust tema töökohale esitatavatele nõutele.</w:t>
            </w:r>
          </w:p>
        </w:tc>
      </w:tr>
      <w:tr w:rsidR="004A6098" w14:paraId="2CD6F74C" w14:textId="77777777" w:rsidTr="00B377ED">
        <w:tc>
          <w:tcPr>
            <w:tcW w:w="2323" w:type="dxa"/>
            <w:vMerge/>
          </w:tcPr>
          <w:p w14:paraId="12D5CBDA" w14:textId="77777777" w:rsidR="004A6098" w:rsidRDefault="004A6098" w:rsidP="00B377ED"/>
        </w:tc>
        <w:tc>
          <w:tcPr>
            <w:tcW w:w="1057" w:type="dxa"/>
            <w:vMerge/>
          </w:tcPr>
          <w:p w14:paraId="2EFA2C35" w14:textId="77777777" w:rsidR="004A6098" w:rsidRDefault="004A6098" w:rsidP="00B377ED"/>
        </w:tc>
        <w:tc>
          <w:tcPr>
            <w:tcW w:w="376" w:type="dxa"/>
          </w:tcPr>
          <w:p w14:paraId="4E7EC811" w14:textId="7B048DE0" w:rsidR="004A6098" w:rsidRPr="001464C5" w:rsidRDefault="00926594" w:rsidP="00B377ED">
            <w:r>
              <w:t>4</w:t>
            </w:r>
          </w:p>
        </w:tc>
        <w:tc>
          <w:tcPr>
            <w:tcW w:w="5106" w:type="dxa"/>
            <w:gridSpan w:val="2"/>
          </w:tcPr>
          <w:p w14:paraId="70CE13B5" w14:textId="368264EE" w:rsidR="004A6098" w:rsidRPr="000B086A" w:rsidRDefault="0061123C" w:rsidP="003267B3">
            <w:pPr>
              <w:rPr>
                <w:szCs w:val="24"/>
              </w:rPr>
            </w:pPr>
            <w:r w:rsidRPr="0061123C">
              <w:rPr>
                <w:szCs w:val="24"/>
              </w:rPr>
              <w:t xml:space="preserve">Spetsialisti omandatud </w:t>
            </w:r>
            <w:r w:rsidR="00BF7A31">
              <w:rPr>
                <w:szCs w:val="24"/>
              </w:rPr>
              <w:t>haridus</w:t>
            </w:r>
            <w:r w:rsidRPr="0061123C">
              <w:rPr>
                <w:szCs w:val="24"/>
              </w:rPr>
              <w:t xml:space="preserve"> ja varasem erialane töökogemus toetab ettevõttes ametikohaga seotud eesmärkide ja tulemuste saavutamist. Töötaja hariduse, kvalifikatsiooni ja senise töökogemuse vastavus töökohale esitatavatele nõuetele on väga hea. Vastav seos on selgelt kirjeldatud.</w:t>
            </w:r>
          </w:p>
        </w:tc>
      </w:tr>
      <w:tr w:rsidR="004A6098" w14:paraId="2AD4611D" w14:textId="77777777" w:rsidTr="00B377ED">
        <w:tc>
          <w:tcPr>
            <w:tcW w:w="2323" w:type="dxa"/>
            <w:vMerge/>
          </w:tcPr>
          <w:p w14:paraId="4DD9F1DB" w14:textId="77777777" w:rsidR="004A6098" w:rsidRDefault="004A6098" w:rsidP="00B377ED"/>
        </w:tc>
        <w:tc>
          <w:tcPr>
            <w:tcW w:w="1057" w:type="dxa"/>
            <w:vMerge/>
          </w:tcPr>
          <w:p w14:paraId="3D2030D5" w14:textId="77777777" w:rsidR="004A6098" w:rsidRDefault="004A6098" w:rsidP="00B377ED"/>
        </w:tc>
        <w:tc>
          <w:tcPr>
            <w:tcW w:w="376" w:type="dxa"/>
          </w:tcPr>
          <w:p w14:paraId="16FE1FCB" w14:textId="31703A2A" w:rsidR="004A6098" w:rsidRDefault="00947CED" w:rsidP="00B377ED">
            <w:r>
              <w:t>3</w:t>
            </w:r>
          </w:p>
        </w:tc>
        <w:tc>
          <w:tcPr>
            <w:tcW w:w="5106" w:type="dxa"/>
            <w:gridSpan w:val="2"/>
          </w:tcPr>
          <w:p w14:paraId="2E165C01" w14:textId="439224C6" w:rsidR="004A6098" w:rsidRPr="00537A04" w:rsidRDefault="00BA1DD4" w:rsidP="001307AE">
            <w:r w:rsidRPr="00BA1DD4">
              <w:t xml:space="preserve">Spetsialisti omandatud </w:t>
            </w:r>
            <w:r>
              <w:t>haridus</w:t>
            </w:r>
            <w:r w:rsidRPr="00BA1DD4">
              <w:t xml:space="preserve"> </w:t>
            </w:r>
            <w:r>
              <w:t>või</w:t>
            </w:r>
            <w:r w:rsidRPr="00BA1DD4">
              <w:t xml:space="preserve"> varasem erialane töökogemus toetab ettevõttes ametikohaga seotud eesmärkide ja tulemuste saavutamist. Töötaja hariduse</w:t>
            </w:r>
            <w:r w:rsidR="00D14985">
              <w:t xml:space="preserve"> või </w:t>
            </w:r>
            <w:r w:rsidRPr="00BA1DD4">
              <w:t>seni</w:t>
            </w:r>
            <w:r w:rsidR="00D14985">
              <w:t>ne</w:t>
            </w:r>
            <w:r w:rsidRPr="00BA1DD4">
              <w:t xml:space="preserve"> töökogemus</w:t>
            </w:r>
            <w:r w:rsidR="008118B8">
              <w:t>e</w:t>
            </w:r>
            <w:r w:rsidRPr="00BA1DD4">
              <w:t xml:space="preserve"> vastavus töökohale esitatavatele </w:t>
            </w:r>
            <w:r w:rsidRPr="00BA1DD4">
              <w:lastRenderedPageBreak/>
              <w:t>nõuetele on väga hea. Vastav seos on selgelt kirjeldatud.</w:t>
            </w:r>
          </w:p>
        </w:tc>
      </w:tr>
      <w:tr w:rsidR="004A6098" w14:paraId="67B3A2FD" w14:textId="77777777" w:rsidTr="00B377ED">
        <w:tc>
          <w:tcPr>
            <w:tcW w:w="2323" w:type="dxa"/>
            <w:vMerge/>
          </w:tcPr>
          <w:p w14:paraId="309E6BB4" w14:textId="77777777" w:rsidR="004A6098" w:rsidRDefault="004A6098" w:rsidP="00B377ED"/>
        </w:tc>
        <w:tc>
          <w:tcPr>
            <w:tcW w:w="1057" w:type="dxa"/>
            <w:vMerge/>
          </w:tcPr>
          <w:p w14:paraId="4896ADE2" w14:textId="77777777" w:rsidR="004A6098" w:rsidRDefault="004A6098" w:rsidP="00B377ED"/>
        </w:tc>
        <w:tc>
          <w:tcPr>
            <w:tcW w:w="376" w:type="dxa"/>
          </w:tcPr>
          <w:p w14:paraId="57999A9B" w14:textId="20525761" w:rsidR="004A6098" w:rsidRDefault="00947CED" w:rsidP="00B377ED">
            <w:r>
              <w:t>2</w:t>
            </w:r>
          </w:p>
        </w:tc>
        <w:tc>
          <w:tcPr>
            <w:tcW w:w="5106" w:type="dxa"/>
            <w:gridSpan w:val="2"/>
          </w:tcPr>
          <w:p w14:paraId="3ACD0E8A" w14:textId="7868A1B2" w:rsidR="004A6098" w:rsidRPr="00537A04" w:rsidRDefault="00B5511E" w:rsidP="00D305C3">
            <w:r w:rsidRPr="00B5511E">
              <w:t>Spetsialisti omandatud eriala ja varasem erialane töökogemus toetab ettevõttes ametikohaga seotud eesmärkide ja tulemuste saavutamist osaliselt. Spetsialisti hariduse, kvalifikatsiooni ja senise töökogemuse vastavus töökohale esitatavatele nõuetele on keskpärane.</w:t>
            </w:r>
          </w:p>
        </w:tc>
      </w:tr>
      <w:tr w:rsidR="007B0B27" w14:paraId="5EA05482" w14:textId="77777777" w:rsidTr="00B377ED">
        <w:tc>
          <w:tcPr>
            <w:tcW w:w="2323" w:type="dxa"/>
            <w:vMerge/>
          </w:tcPr>
          <w:p w14:paraId="627EF9CA" w14:textId="77777777" w:rsidR="007B0B27" w:rsidRDefault="007B0B27" w:rsidP="00B377ED"/>
        </w:tc>
        <w:tc>
          <w:tcPr>
            <w:tcW w:w="1057" w:type="dxa"/>
            <w:vMerge/>
          </w:tcPr>
          <w:p w14:paraId="3C41A468" w14:textId="77777777" w:rsidR="007B0B27" w:rsidRDefault="007B0B27" w:rsidP="00B377ED"/>
        </w:tc>
        <w:tc>
          <w:tcPr>
            <w:tcW w:w="376" w:type="dxa"/>
          </w:tcPr>
          <w:p w14:paraId="3D4D0472" w14:textId="72207DD8" w:rsidR="007B0B27" w:rsidRDefault="007B0B27" w:rsidP="00B377ED">
            <w:r>
              <w:t>1</w:t>
            </w:r>
          </w:p>
        </w:tc>
        <w:tc>
          <w:tcPr>
            <w:tcW w:w="5106" w:type="dxa"/>
            <w:gridSpan w:val="2"/>
          </w:tcPr>
          <w:p w14:paraId="4EB05B03" w14:textId="629602C1" w:rsidR="007B0B27" w:rsidRPr="00537A04" w:rsidRDefault="00682B7E" w:rsidP="00D305C3">
            <w:r w:rsidRPr="00682B7E">
              <w:t>Spetsialisti hariduse ja senise töökogemuse vastavus töökohale esitatavatele nõuetele on kesine. Taotlus ei sisalda piisaval hulgal dokumentaalselt tõendatud informatsiooni taotleja omandatud hariduse ja töökogemuse kohta.</w:t>
            </w:r>
          </w:p>
        </w:tc>
      </w:tr>
      <w:tr w:rsidR="004A6098" w14:paraId="51AC7333" w14:textId="77777777" w:rsidTr="00B377ED">
        <w:tc>
          <w:tcPr>
            <w:tcW w:w="2323" w:type="dxa"/>
            <w:vMerge/>
          </w:tcPr>
          <w:p w14:paraId="7180C276" w14:textId="77777777" w:rsidR="004A6098" w:rsidRDefault="004A6098" w:rsidP="00B377ED"/>
        </w:tc>
        <w:tc>
          <w:tcPr>
            <w:tcW w:w="1057" w:type="dxa"/>
            <w:vMerge/>
          </w:tcPr>
          <w:p w14:paraId="73B1210D" w14:textId="77777777" w:rsidR="004A6098" w:rsidRDefault="004A6098" w:rsidP="00B377ED"/>
        </w:tc>
        <w:tc>
          <w:tcPr>
            <w:tcW w:w="376" w:type="dxa"/>
          </w:tcPr>
          <w:p w14:paraId="6D4DD70C" w14:textId="4E3ED9CC" w:rsidR="004A6098" w:rsidRDefault="007B0B27" w:rsidP="00B377ED">
            <w:r>
              <w:t>0</w:t>
            </w:r>
          </w:p>
        </w:tc>
        <w:tc>
          <w:tcPr>
            <w:tcW w:w="5106" w:type="dxa"/>
            <w:gridSpan w:val="2"/>
          </w:tcPr>
          <w:p w14:paraId="5E3FD3C7" w14:textId="2882AB55" w:rsidR="004A6098" w:rsidRPr="00537A04" w:rsidRDefault="004864D5" w:rsidP="00D305C3">
            <w:r w:rsidRPr="004864D5">
              <w:t xml:space="preserve">Spetsialisti hariduse ja senise töökogemuse vastavus töökohale esitatavatele nõuetele on kesine. </w:t>
            </w:r>
            <w:r w:rsidR="00C03BDB" w:rsidRPr="00C03BDB">
              <w:t>Vastav seos on kirjeldamata.</w:t>
            </w:r>
          </w:p>
        </w:tc>
      </w:tr>
      <w:tr w:rsidR="004A6098" w14:paraId="71B1EE46" w14:textId="77777777" w:rsidTr="00B377ED">
        <w:tc>
          <w:tcPr>
            <w:tcW w:w="2323" w:type="dxa"/>
            <w:vMerge w:val="restart"/>
          </w:tcPr>
          <w:p w14:paraId="5FCC59AC" w14:textId="2035C56A" w:rsidR="00FF25C2" w:rsidRPr="00FE7593" w:rsidRDefault="00F96D41" w:rsidP="00B377ED">
            <w:r>
              <w:t>IV</w:t>
            </w:r>
            <w:r w:rsidR="00FF25C2" w:rsidRPr="00FE7593">
              <w:t xml:space="preserve"> kriteerium</w:t>
            </w:r>
          </w:p>
          <w:p w14:paraId="3D98F5C6" w14:textId="77777777" w:rsidR="00891B9B" w:rsidRPr="00FE7593" w:rsidRDefault="00891B9B" w:rsidP="00B377ED"/>
          <w:p w14:paraId="3019820D" w14:textId="7FB31A96" w:rsidR="004A6098" w:rsidRPr="00FE7593" w:rsidRDefault="007E7086" w:rsidP="00B377ED">
            <w:r>
              <w:t>P</w:t>
            </w:r>
            <w:r w:rsidR="006E4011" w:rsidRPr="006E4011">
              <w:t>rojekti eelarves toodud tegevuste ja kulude põhjendatus</w:t>
            </w:r>
          </w:p>
        </w:tc>
        <w:tc>
          <w:tcPr>
            <w:tcW w:w="1057" w:type="dxa"/>
            <w:vMerge w:val="restart"/>
          </w:tcPr>
          <w:p w14:paraId="5D9EED62" w14:textId="314DBE94" w:rsidR="004A6098" w:rsidRPr="00FE7593" w:rsidRDefault="00B27239" w:rsidP="00B377ED">
            <w:r>
              <w:t>2</w:t>
            </w:r>
            <w:r w:rsidR="00A903BD" w:rsidRPr="00FE7593">
              <w:t>0</w:t>
            </w:r>
            <w:r w:rsidR="00A33E2E" w:rsidRPr="00FE7593">
              <w:t>%</w:t>
            </w:r>
          </w:p>
        </w:tc>
        <w:tc>
          <w:tcPr>
            <w:tcW w:w="5482" w:type="dxa"/>
            <w:gridSpan w:val="3"/>
          </w:tcPr>
          <w:p w14:paraId="3505BF70" w14:textId="0C663A2B" w:rsidR="004A6098" w:rsidRDefault="004A6098" w:rsidP="00E96D65">
            <w:r w:rsidRPr="00FE7593">
              <w:t>Hindamisel arvestatakse:</w:t>
            </w:r>
          </w:p>
          <w:p w14:paraId="48D2476E" w14:textId="2AC05F21" w:rsidR="00C87C0B" w:rsidRDefault="00C4187B" w:rsidP="00C4187B">
            <w:pPr>
              <w:pStyle w:val="Loendilik"/>
              <w:numPr>
                <w:ilvl w:val="0"/>
                <w:numId w:val="10"/>
              </w:numPr>
            </w:pPr>
            <w:r>
              <w:t xml:space="preserve">projekti eelarves toodud tegevuste </w:t>
            </w:r>
            <w:r w:rsidR="00200BEA">
              <w:t xml:space="preserve">mõju meetme eesmärkide </w:t>
            </w:r>
            <w:r w:rsidR="004F6CFB">
              <w:t>saavutamisele;</w:t>
            </w:r>
          </w:p>
          <w:p w14:paraId="513F31E4" w14:textId="0BFDB9E1" w:rsidR="004F6CFB" w:rsidRPr="00FE7593" w:rsidRDefault="004F6CFB" w:rsidP="00C4187B">
            <w:pPr>
              <w:pStyle w:val="Loendilik"/>
              <w:numPr>
                <w:ilvl w:val="0"/>
                <w:numId w:val="10"/>
              </w:numPr>
            </w:pPr>
            <w:r>
              <w:t xml:space="preserve">projekti eelarves toodud </w:t>
            </w:r>
            <w:r w:rsidR="00361AA0">
              <w:t>kulude põhjendatust.</w:t>
            </w:r>
          </w:p>
          <w:p w14:paraId="3BEF9849" w14:textId="019B44DA" w:rsidR="00123714" w:rsidRPr="00FE7593" w:rsidRDefault="00422ABC" w:rsidP="00422ABC">
            <w:r w:rsidRPr="00FE7593">
              <w:t xml:space="preserve"> </w:t>
            </w:r>
          </w:p>
        </w:tc>
      </w:tr>
      <w:tr w:rsidR="004A6098" w14:paraId="0AF649BC" w14:textId="77777777" w:rsidTr="00B377ED">
        <w:tc>
          <w:tcPr>
            <w:tcW w:w="2323" w:type="dxa"/>
            <w:vMerge/>
          </w:tcPr>
          <w:p w14:paraId="520EF7C1" w14:textId="77777777" w:rsidR="004A6098" w:rsidRDefault="004A6098" w:rsidP="00B377ED"/>
        </w:tc>
        <w:tc>
          <w:tcPr>
            <w:tcW w:w="1057" w:type="dxa"/>
            <w:vMerge/>
          </w:tcPr>
          <w:p w14:paraId="23437890" w14:textId="77777777" w:rsidR="004A6098" w:rsidRDefault="004A6098" w:rsidP="00B377ED"/>
        </w:tc>
        <w:tc>
          <w:tcPr>
            <w:tcW w:w="376" w:type="dxa"/>
          </w:tcPr>
          <w:p w14:paraId="6E74F0CB" w14:textId="1B58235A" w:rsidR="004A6098" w:rsidRDefault="0029215E" w:rsidP="00B377ED">
            <w:r>
              <w:t>4</w:t>
            </w:r>
          </w:p>
        </w:tc>
        <w:tc>
          <w:tcPr>
            <w:tcW w:w="5106" w:type="dxa"/>
            <w:gridSpan w:val="2"/>
          </w:tcPr>
          <w:p w14:paraId="17469CB3" w14:textId="76EE2E32" w:rsidR="004A6098" w:rsidRPr="00EF5BDE" w:rsidRDefault="004A2F27" w:rsidP="00B377ED">
            <w:r w:rsidRPr="004A2F27">
              <w:t>Projekti tegevused on hästi läbi mõeldud ja eelarve on põhjendatud (kavandatud tegevused ja kulud on omavahel vastavuses).</w:t>
            </w:r>
            <w:r w:rsidR="00310524">
              <w:t xml:space="preserve"> </w:t>
            </w:r>
            <w:r w:rsidR="00681345">
              <w:t xml:space="preserve">Projekti tulemusel </w:t>
            </w:r>
            <w:r w:rsidR="00DC33E5">
              <w:t xml:space="preserve">paranevad väga oluliselt </w:t>
            </w:r>
            <w:r w:rsidR="00F61872">
              <w:t xml:space="preserve">spetsialisti elamistingimused </w:t>
            </w:r>
            <w:r w:rsidR="004A4669">
              <w:t>või p</w:t>
            </w:r>
            <w:r w:rsidR="009D3BEB">
              <w:t xml:space="preserve">rojekti ellu viimisel on spetsialistil võimalus </w:t>
            </w:r>
            <w:r w:rsidR="00730DF4">
              <w:t>asuda elama Põlva valda</w:t>
            </w:r>
          </w:p>
        </w:tc>
      </w:tr>
      <w:tr w:rsidR="004A6098" w14:paraId="10E8372C" w14:textId="77777777" w:rsidTr="00B377ED">
        <w:tc>
          <w:tcPr>
            <w:tcW w:w="2323" w:type="dxa"/>
            <w:vMerge/>
          </w:tcPr>
          <w:p w14:paraId="25776872" w14:textId="77777777" w:rsidR="004A6098" w:rsidRDefault="004A6098" w:rsidP="00B377ED"/>
        </w:tc>
        <w:tc>
          <w:tcPr>
            <w:tcW w:w="1057" w:type="dxa"/>
            <w:vMerge/>
          </w:tcPr>
          <w:p w14:paraId="70EEAB43" w14:textId="77777777" w:rsidR="004A6098" w:rsidRDefault="004A6098" w:rsidP="00B377ED"/>
        </w:tc>
        <w:tc>
          <w:tcPr>
            <w:tcW w:w="376" w:type="dxa"/>
          </w:tcPr>
          <w:p w14:paraId="0F2D1EFB" w14:textId="26664AAB" w:rsidR="004A6098" w:rsidRDefault="0029215E" w:rsidP="00B377ED">
            <w:r>
              <w:t>3</w:t>
            </w:r>
          </w:p>
        </w:tc>
        <w:tc>
          <w:tcPr>
            <w:tcW w:w="5106" w:type="dxa"/>
            <w:gridSpan w:val="2"/>
          </w:tcPr>
          <w:p w14:paraId="510A3D8D" w14:textId="4D21EBFB" w:rsidR="004A6098" w:rsidRPr="00EF5BDE" w:rsidRDefault="00111B25" w:rsidP="00D305C3">
            <w:r>
              <w:t>4 ja 2 vahepeal</w:t>
            </w:r>
            <w:r w:rsidR="008D2A46">
              <w:t>ne hinnang</w:t>
            </w:r>
          </w:p>
        </w:tc>
      </w:tr>
      <w:tr w:rsidR="004A6098" w14:paraId="2F7DBCF6" w14:textId="77777777" w:rsidTr="00B377ED">
        <w:tc>
          <w:tcPr>
            <w:tcW w:w="2323" w:type="dxa"/>
            <w:vMerge/>
          </w:tcPr>
          <w:p w14:paraId="37994A82" w14:textId="77777777" w:rsidR="004A6098" w:rsidRDefault="004A6098" w:rsidP="00B377ED"/>
        </w:tc>
        <w:tc>
          <w:tcPr>
            <w:tcW w:w="1057" w:type="dxa"/>
            <w:vMerge/>
          </w:tcPr>
          <w:p w14:paraId="0ECC278F" w14:textId="77777777" w:rsidR="004A6098" w:rsidRDefault="004A6098" w:rsidP="00B377ED"/>
        </w:tc>
        <w:tc>
          <w:tcPr>
            <w:tcW w:w="376" w:type="dxa"/>
          </w:tcPr>
          <w:p w14:paraId="4916539E" w14:textId="086B9C39" w:rsidR="004A6098" w:rsidRDefault="0029215E" w:rsidP="00B377ED">
            <w:r>
              <w:t>2</w:t>
            </w:r>
          </w:p>
        </w:tc>
        <w:tc>
          <w:tcPr>
            <w:tcW w:w="5106" w:type="dxa"/>
            <w:gridSpan w:val="2"/>
          </w:tcPr>
          <w:p w14:paraId="7892B6DA" w14:textId="013ED7C5" w:rsidR="004A6098" w:rsidRPr="00EF5BDE" w:rsidRDefault="00C8696D" w:rsidP="00D305C3">
            <w:r w:rsidRPr="00C8696D">
              <w:t>Taotluse eelarves esineb ebaselgust.  Tegevuskava või tegevusteks planeeritud kulud  ei ole piisavalt põhjendatud ja/või tegevuste elluviimiseks optimaalsed.</w:t>
            </w:r>
          </w:p>
        </w:tc>
      </w:tr>
      <w:tr w:rsidR="0029215E" w14:paraId="01B387E3" w14:textId="77777777" w:rsidTr="00B377ED">
        <w:tc>
          <w:tcPr>
            <w:tcW w:w="2323" w:type="dxa"/>
            <w:vMerge/>
          </w:tcPr>
          <w:p w14:paraId="4DF336F5" w14:textId="77777777" w:rsidR="0029215E" w:rsidRDefault="0029215E" w:rsidP="00B377ED"/>
        </w:tc>
        <w:tc>
          <w:tcPr>
            <w:tcW w:w="1057" w:type="dxa"/>
            <w:vMerge/>
          </w:tcPr>
          <w:p w14:paraId="06903B6F" w14:textId="77777777" w:rsidR="0029215E" w:rsidRDefault="0029215E" w:rsidP="00B377ED"/>
        </w:tc>
        <w:tc>
          <w:tcPr>
            <w:tcW w:w="376" w:type="dxa"/>
          </w:tcPr>
          <w:p w14:paraId="6644D069" w14:textId="1E8E3F17" w:rsidR="0029215E" w:rsidRDefault="0029215E" w:rsidP="00B377ED">
            <w:r>
              <w:t>1</w:t>
            </w:r>
          </w:p>
        </w:tc>
        <w:tc>
          <w:tcPr>
            <w:tcW w:w="5106" w:type="dxa"/>
            <w:gridSpan w:val="2"/>
          </w:tcPr>
          <w:p w14:paraId="78FC4A19" w14:textId="669F219A" w:rsidR="0029215E" w:rsidRPr="00EF5BDE" w:rsidRDefault="008D2A46" w:rsidP="00E82C3A">
            <w:r>
              <w:t>2 ja 0 vahepealne hinnang</w:t>
            </w:r>
          </w:p>
        </w:tc>
      </w:tr>
      <w:tr w:rsidR="004A6098" w14:paraId="125BC556" w14:textId="77777777" w:rsidTr="00B377ED">
        <w:tc>
          <w:tcPr>
            <w:tcW w:w="2323" w:type="dxa"/>
            <w:vMerge/>
          </w:tcPr>
          <w:p w14:paraId="05C6F546" w14:textId="77777777" w:rsidR="004A6098" w:rsidRDefault="004A6098" w:rsidP="00B377ED"/>
        </w:tc>
        <w:tc>
          <w:tcPr>
            <w:tcW w:w="1057" w:type="dxa"/>
            <w:vMerge/>
          </w:tcPr>
          <w:p w14:paraId="3CBC31FB" w14:textId="77777777" w:rsidR="004A6098" w:rsidRDefault="004A6098" w:rsidP="00B377ED"/>
        </w:tc>
        <w:tc>
          <w:tcPr>
            <w:tcW w:w="376" w:type="dxa"/>
          </w:tcPr>
          <w:p w14:paraId="1AD642D4" w14:textId="4A90D65F" w:rsidR="004A6098" w:rsidRDefault="0029215E" w:rsidP="00B377ED">
            <w:r>
              <w:t>0</w:t>
            </w:r>
          </w:p>
        </w:tc>
        <w:tc>
          <w:tcPr>
            <w:tcW w:w="5106" w:type="dxa"/>
            <w:gridSpan w:val="2"/>
          </w:tcPr>
          <w:p w14:paraId="28CE6DEC" w14:textId="3122ADCA" w:rsidR="004A6098" w:rsidRPr="00EF5BDE" w:rsidRDefault="00A20836" w:rsidP="00E82C3A">
            <w:r w:rsidRPr="00A20836">
              <w:t>Taotluses toodud projekti eelarve ei ole läbipaistev ja tegevusteks planeeritud kulud ei ole piisavalt põhjendatud. Toetuse kasutamine ei ole efektiivne.</w:t>
            </w:r>
          </w:p>
        </w:tc>
      </w:tr>
      <w:tr w:rsidR="004A6098" w:rsidRPr="00872184" w14:paraId="33DAEEE7" w14:textId="77777777" w:rsidTr="00B377ED">
        <w:tc>
          <w:tcPr>
            <w:tcW w:w="2323" w:type="dxa"/>
            <w:vMerge w:val="restart"/>
          </w:tcPr>
          <w:p w14:paraId="65AE3C79" w14:textId="25305BE3" w:rsidR="00FF25C2" w:rsidRPr="00891B9B" w:rsidRDefault="00FF25C2" w:rsidP="00B377ED">
            <w:r w:rsidRPr="00891B9B">
              <w:t>V kriteerium</w:t>
            </w:r>
          </w:p>
          <w:p w14:paraId="6852CBB1" w14:textId="77777777" w:rsidR="00891B9B" w:rsidRDefault="00891B9B" w:rsidP="00B377ED"/>
          <w:p w14:paraId="4B5D280E" w14:textId="5B79B3F9" w:rsidR="004A6098" w:rsidRPr="00872184" w:rsidRDefault="00673C61" w:rsidP="00B377ED">
            <w:r>
              <w:t>P</w:t>
            </w:r>
            <w:r w:rsidRPr="00673C61">
              <w:t>rojekti teostatavus ja kindlustatus ressurssidega</w:t>
            </w:r>
          </w:p>
        </w:tc>
        <w:tc>
          <w:tcPr>
            <w:tcW w:w="1057" w:type="dxa"/>
            <w:vMerge w:val="restart"/>
          </w:tcPr>
          <w:p w14:paraId="4FD68A5C" w14:textId="13470393" w:rsidR="004A6098" w:rsidRPr="00872184" w:rsidRDefault="00947CED" w:rsidP="00B377ED">
            <w:r>
              <w:t>1</w:t>
            </w:r>
            <w:r w:rsidR="00A903BD">
              <w:t>0</w:t>
            </w:r>
            <w:r w:rsidR="008301D5">
              <w:t>%</w:t>
            </w:r>
          </w:p>
        </w:tc>
        <w:tc>
          <w:tcPr>
            <w:tcW w:w="5482" w:type="dxa"/>
            <w:gridSpan w:val="3"/>
          </w:tcPr>
          <w:p w14:paraId="7486CD20" w14:textId="534AD28D" w:rsidR="004A6098" w:rsidRDefault="004A6098" w:rsidP="00B377ED">
            <w:r w:rsidRPr="00872184">
              <w:t>Hindamisel arvestatakse:</w:t>
            </w:r>
          </w:p>
          <w:p w14:paraId="03EE72A9" w14:textId="3286FA8C" w:rsidR="00D6558B" w:rsidRDefault="00C465B5" w:rsidP="00A17888">
            <w:pPr>
              <w:pStyle w:val="Loendilik"/>
              <w:numPr>
                <w:ilvl w:val="0"/>
                <w:numId w:val="12"/>
              </w:numPr>
            </w:pPr>
            <w:r w:rsidRPr="00C465B5">
              <w:t>taotleja suutlikkust projekti tegevused ellu viia</w:t>
            </w:r>
            <w:r w:rsidR="00FE7AEC">
              <w:t xml:space="preserve"> projekti abikõlblikkuse perioodil</w:t>
            </w:r>
            <w:r w:rsidRPr="00C465B5">
              <w:t xml:space="preserve">, </w:t>
            </w:r>
          </w:p>
          <w:p w14:paraId="787C5937" w14:textId="3DB31CF9" w:rsidR="006D7942" w:rsidRPr="00872184" w:rsidRDefault="00C465B5" w:rsidP="00A17888">
            <w:pPr>
              <w:pStyle w:val="Loendilik"/>
              <w:numPr>
                <w:ilvl w:val="0"/>
                <w:numId w:val="12"/>
              </w:numPr>
            </w:pPr>
            <w:r w:rsidRPr="00C465B5">
              <w:t>taotleja finantsvõimekus</w:t>
            </w:r>
            <w:r w:rsidR="00931E5D">
              <w:t xml:space="preserve">t ning </w:t>
            </w:r>
            <w:r w:rsidRPr="00C465B5">
              <w:t>omafinantseeringu osakaal</w:t>
            </w:r>
            <w:r w:rsidR="00931E5D">
              <w:t>u</w:t>
            </w:r>
            <w:r w:rsidRPr="00C465B5">
              <w:t xml:space="preserve"> projekti kogukuludest. Juhul kui  taotleja kaasab väliseid finantseerimisvõimalusi (pangalaen, käendus vms), siis kas nende saamine on realistlik ja tõendatud.</w:t>
            </w:r>
          </w:p>
          <w:p w14:paraId="7B743324" w14:textId="77777777" w:rsidR="004A6098" w:rsidRPr="00872184" w:rsidRDefault="004A6098" w:rsidP="00AF0EB9"/>
        </w:tc>
      </w:tr>
      <w:tr w:rsidR="004A6098" w:rsidRPr="00872184" w14:paraId="554A1BC6" w14:textId="77777777" w:rsidTr="00CF18CC">
        <w:trPr>
          <w:trHeight w:val="587"/>
        </w:trPr>
        <w:tc>
          <w:tcPr>
            <w:tcW w:w="2323" w:type="dxa"/>
            <w:vMerge/>
          </w:tcPr>
          <w:p w14:paraId="710BF373" w14:textId="77777777" w:rsidR="004A6098" w:rsidRPr="00872184" w:rsidRDefault="004A6098" w:rsidP="00B377ED"/>
        </w:tc>
        <w:tc>
          <w:tcPr>
            <w:tcW w:w="1057" w:type="dxa"/>
            <w:vMerge/>
          </w:tcPr>
          <w:p w14:paraId="72877351" w14:textId="77777777" w:rsidR="004A6098" w:rsidRPr="00872184" w:rsidRDefault="004A6098" w:rsidP="00B377ED"/>
        </w:tc>
        <w:tc>
          <w:tcPr>
            <w:tcW w:w="376" w:type="dxa"/>
          </w:tcPr>
          <w:p w14:paraId="515FE409" w14:textId="13A67E13" w:rsidR="004A6098" w:rsidRPr="00872184" w:rsidRDefault="00CC4477" w:rsidP="00B377ED">
            <w:r>
              <w:t>4</w:t>
            </w:r>
          </w:p>
        </w:tc>
        <w:tc>
          <w:tcPr>
            <w:tcW w:w="5106" w:type="dxa"/>
            <w:gridSpan w:val="2"/>
          </w:tcPr>
          <w:p w14:paraId="66BBFF9D" w14:textId="4C2783F6" w:rsidR="000843A5" w:rsidRPr="00872184" w:rsidRDefault="00005D81" w:rsidP="00BA3F9C">
            <w:r w:rsidRPr="00005D81">
              <w:t>Taotleja finantsvõimekus on piisav, et kindlustada taotluses toodud tegevuste elluviimiseks vajalik omafinantseerimine</w:t>
            </w:r>
            <w:r w:rsidR="00683847">
              <w:t xml:space="preserve"> või on tagatud t</w:t>
            </w:r>
            <w:r w:rsidRPr="00005D81">
              <w:t xml:space="preserve">aotleja </w:t>
            </w:r>
            <w:r w:rsidRPr="00005D81">
              <w:lastRenderedPageBreak/>
              <w:t>võimal</w:t>
            </w:r>
            <w:r w:rsidR="004F656A">
              <w:t>us</w:t>
            </w:r>
            <w:r w:rsidRPr="00005D81">
              <w:t xml:space="preserve"> kaasata täiendavaid finantsvahendeid taotluses toodud tegevuste elluviimiseks. Taotleja omafinantseeringu osakaal on projekti maksumusest 43% ja enam.</w:t>
            </w:r>
          </w:p>
        </w:tc>
      </w:tr>
      <w:tr w:rsidR="004A6098" w:rsidRPr="00872184" w14:paraId="67676A88" w14:textId="77777777" w:rsidTr="004272FE">
        <w:tc>
          <w:tcPr>
            <w:tcW w:w="2323" w:type="dxa"/>
            <w:vMerge/>
          </w:tcPr>
          <w:p w14:paraId="171870CB" w14:textId="77777777" w:rsidR="004A6098" w:rsidRPr="00872184" w:rsidRDefault="004A6098" w:rsidP="00B377ED"/>
        </w:tc>
        <w:tc>
          <w:tcPr>
            <w:tcW w:w="1057" w:type="dxa"/>
            <w:vMerge/>
          </w:tcPr>
          <w:p w14:paraId="1FABEADF" w14:textId="77777777" w:rsidR="004A6098" w:rsidRPr="00872184" w:rsidRDefault="004A6098" w:rsidP="00B377ED"/>
        </w:tc>
        <w:tc>
          <w:tcPr>
            <w:tcW w:w="376" w:type="dxa"/>
          </w:tcPr>
          <w:p w14:paraId="215E3FA9" w14:textId="764E5B1D" w:rsidR="004A6098" w:rsidRPr="00872184" w:rsidRDefault="00CC4477" w:rsidP="00B377ED">
            <w:r>
              <w:t>3</w:t>
            </w:r>
          </w:p>
        </w:tc>
        <w:tc>
          <w:tcPr>
            <w:tcW w:w="5106" w:type="dxa"/>
            <w:gridSpan w:val="2"/>
            <w:tcBorders>
              <w:bottom w:val="single" w:sz="4" w:space="0" w:color="auto"/>
            </w:tcBorders>
          </w:tcPr>
          <w:p w14:paraId="37BCF749" w14:textId="342E0437" w:rsidR="004A6098" w:rsidRPr="00872184" w:rsidRDefault="004F656A" w:rsidP="00FB5F90">
            <w:r w:rsidRPr="004F656A">
              <w:t>Taotleja finantsvõimekus on piisav, et kindlustada taotluses toodud tegevuste omafinantseerimine. Taotleja omafinantseeringu osakaal on 40-42,9% projekti maksumusest.</w:t>
            </w:r>
          </w:p>
        </w:tc>
      </w:tr>
      <w:tr w:rsidR="004A6098" w:rsidRPr="00872184" w:rsidDel="005C5F1B" w14:paraId="39A9AF7C" w14:textId="77777777" w:rsidTr="004272FE">
        <w:tc>
          <w:tcPr>
            <w:tcW w:w="2323" w:type="dxa"/>
            <w:vMerge/>
          </w:tcPr>
          <w:p w14:paraId="056EDA65" w14:textId="77777777" w:rsidR="004A6098" w:rsidRPr="00872184" w:rsidRDefault="004A6098" w:rsidP="00B377ED"/>
        </w:tc>
        <w:tc>
          <w:tcPr>
            <w:tcW w:w="1057" w:type="dxa"/>
            <w:vMerge/>
          </w:tcPr>
          <w:p w14:paraId="08BD1941" w14:textId="77777777" w:rsidR="004A6098" w:rsidRPr="00872184" w:rsidRDefault="004A6098" w:rsidP="00B377ED"/>
        </w:tc>
        <w:tc>
          <w:tcPr>
            <w:tcW w:w="376" w:type="dxa"/>
          </w:tcPr>
          <w:p w14:paraId="597E8DCE" w14:textId="77777777" w:rsidR="004A6098" w:rsidRPr="00872184" w:rsidRDefault="004A6098" w:rsidP="00B377ED">
            <w:r w:rsidRPr="00872184">
              <w:t>2</w:t>
            </w:r>
          </w:p>
        </w:tc>
        <w:tc>
          <w:tcPr>
            <w:tcW w:w="5106" w:type="dxa"/>
            <w:gridSpan w:val="2"/>
            <w:tcBorders>
              <w:top w:val="single" w:sz="4" w:space="0" w:color="auto"/>
              <w:bottom w:val="single" w:sz="4" w:space="0" w:color="auto"/>
            </w:tcBorders>
          </w:tcPr>
          <w:p w14:paraId="5B1116EF" w14:textId="6E4B4202" w:rsidR="00FB5F90" w:rsidRPr="00DD6CAE" w:rsidDel="005C5F1B" w:rsidRDefault="00650E4F" w:rsidP="00B81487">
            <w:pPr>
              <w:rPr>
                <w:szCs w:val="24"/>
              </w:rPr>
            </w:pPr>
            <w:r w:rsidRPr="00650E4F">
              <w:rPr>
                <w:szCs w:val="24"/>
              </w:rPr>
              <w:t>Taotlejal on suure tõenäosusega võimalik kaasata täiendavaid finantsvahendeid taotluses toodud tegevuste elluviimiseks. Taotleja omafinantseeringu osakaal on 37 - 39,9% projekti maksumusest.</w:t>
            </w:r>
          </w:p>
        </w:tc>
      </w:tr>
      <w:tr w:rsidR="004A6098" w:rsidRPr="00872184" w14:paraId="2D79F15B" w14:textId="77777777" w:rsidTr="004272FE">
        <w:tc>
          <w:tcPr>
            <w:tcW w:w="2323" w:type="dxa"/>
            <w:vMerge/>
          </w:tcPr>
          <w:p w14:paraId="3DBDE7A9" w14:textId="77777777" w:rsidR="004A6098" w:rsidRPr="00872184" w:rsidRDefault="004A6098" w:rsidP="00B377ED"/>
        </w:tc>
        <w:tc>
          <w:tcPr>
            <w:tcW w:w="1057" w:type="dxa"/>
            <w:vMerge/>
          </w:tcPr>
          <w:p w14:paraId="396D2067" w14:textId="77777777" w:rsidR="004A6098" w:rsidRPr="00872184" w:rsidRDefault="004A6098" w:rsidP="00B377ED"/>
        </w:tc>
        <w:tc>
          <w:tcPr>
            <w:tcW w:w="376" w:type="dxa"/>
          </w:tcPr>
          <w:p w14:paraId="2A80D960" w14:textId="723D6E1E" w:rsidR="004A6098" w:rsidRPr="00872184" w:rsidRDefault="002A76F6" w:rsidP="00B377ED">
            <w:r>
              <w:t>1</w:t>
            </w:r>
          </w:p>
        </w:tc>
        <w:tc>
          <w:tcPr>
            <w:tcW w:w="5106" w:type="dxa"/>
            <w:gridSpan w:val="2"/>
            <w:tcBorders>
              <w:top w:val="single" w:sz="4" w:space="0" w:color="auto"/>
            </w:tcBorders>
          </w:tcPr>
          <w:p w14:paraId="7F20EEE6" w14:textId="5F1B7EB8" w:rsidR="004A6098" w:rsidRPr="00DD6CAE" w:rsidRDefault="003173CC" w:rsidP="00FB5F90">
            <w:pPr>
              <w:rPr>
                <w:szCs w:val="24"/>
              </w:rPr>
            </w:pPr>
            <w:r w:rsidRPr="003173CC">
              <w:rPr>
                <w:szCs w:val="24"/>
              </w:rPr>
              <w:t>Taotleja omafinantseeringu osakaal on 33 - 36,9% projekti maksumusest.</w:t>
            </w:r>
            <w:r w:rsidR="002F007A">
              <w:rPr>
                <w:szCs w:val="24"/>
              </w:rPr>
              <w:t xml:space="preserve"> Taotleja suudab tagada omafinantseeringu. </w:t>
            </w:r>
          </w:p>
        </w:tc>
      </w:tr>
      <w:tr w:rsidR="004A6098" w:rsidRPr="00872184" w14:paraId="3654B8EF" w14:textId="77777777" w:rsidTr="00CF18CC">
        <w:trPr>
          <w:trHeight w:val="1548"/>
        </w:trPr>
        <w:tc>
          <w:tcPr>
            <w:tcW w:w="2323" w:type="dxa"/>
            <w:vMerge/>
          </w:tcPr>
          <w:p w14:paraId="3A2CF704" w14:textId="77777777" w:rsidR="004A6098" w:rsidRPr="00872184" w:rsidRDefault="004A6098" w:rsidP="00B377ED"/>
        </w:tc>
        <w:tc>
          <w:tcPr>
            <w:tcW w:w="1057" w:type="dxa"/>
            <w:vMerge/>
          </w:tcPr>
          <w:p w14:paraId="6A0D2ED0" w14:textId="77777777" w:rsidR="004A6098" w:rsidRPr="00872184" w:rsidRDefault="004A6098" w:rsidP="00B377ED"/>
        </w:tc>
        <w:tc>
          <w:tcPr>
            <w:tcW w:w="376" w:type="dxa"/>
          </w:tcPr>
          <w:p w14:paraId="16C9E404" w14:textId="6B040BC7" w:rsidR="004A6098" w:rsidRPr="00872184" w:rsidRDefault="0014042C" w:rsidP="00B377ED">
            <w:r>
              <w:t>0</w:t>
            </w:r>
          </w:p>
        </w:tc>
        <w:tc>
          <w:tcPr>
            <w:tcW w:w="5106" w:type="dxa"/>
            <w:gridSpan w:val="2"/>
          </w:tcPr>
          <w:p w14:paraId="27FD2A83" w14:textId="25651635" w:rsidR="000843A5" w:rsidRPr="00340875" w:rsidRDefault="00585B0C" w:rsidP="00F4512A">
            <w:r>
              <w:t>Taotleja oma</w:t>
            </w:r>
            <w:r w:rsidR="00435E37">
              <w:t>finantseeringu osakaal on 33%.</w:t>
            </w:r>
            <w:r w:rsidR="00DC79B9">
              <w:t>Projekti tegevuste elluviim</w:t>
            </w:r>
            <w:r w:rsidR="00BA2529">
              <w:t>ine abikõlblik</w:t>
            </w:r>
            <w:r w:rsidR="00BF54F4">
              <w:t>k</w:t>
            </w:r>
            <w:r w:rsidR="00BA2529">
              <w:t xml:space="preserve">use perioodi jooksul </w:t>
            </w:r>
            <w:r w:rsidR="00937B4B">
              <w:t xml:space="preserve">ning </w:t>
            </w:r>
            <w:r w:rsidR="008D5CF8">
              <w:t>suutlikkus kaasata finants</w:t>
            </w:r>
            <w:r w:rsidR="006255E4">
              <w:t xml:space="preserve">vahendid </w:t>
            </w:r>
            <w:r w:rsidR="00937B4B">
              <w:t>oma</w:t>
            </w:r>
            <w:r w:rsidR="002D1B0C">
              <w:t>finantseeringu</w:t>
            </w:r>
            <w:r w:rsidR="00BF54F4">
              <w:t xml:space="preserve">ks </w:t>
            </w:r>
            <w:r w:rsidR="00BA2529">
              <w:t>on ebat</w:t>
            </w:r>
            <w:r>
              <w:t xml:space="preserve">õenäoline. </w:t>
            </w:r>
          </w:p>
        </w:tc>
      </w:tr>
      <w:tr w:rsidR="00C227CD" w:rsidRPr="00872184" w14:paraId="5CAE15FE" w14:textId="77777777" w:rsidTr="00CF18CC">
        <w:trPr>
          <w:trHeight w:val="1548"/>
        </w:trPr>
        <w:tc>
          <w:tcPr>
            <w:tcW w:w="2323" w:type="dxa"/>
          </w:tcPr>
          <w:p w14:paraId="794B0409" w14:textId="77777777" w:rsidR="00C227CD" w:rsidRDefault="00631E3E" w:rsidP="00B377ED">
            <w:r>
              <w:t xml:space="preserve">Lisakriteerium </w:t>
            </w:r>
          </w:p>
          <w:p w14:paraId="2B905F41" w14:textId="77777777" w:rsidR="00F664CC" w:rsidRPr="00F664CC" w:rsidRDefault="00F664CC" w:rsidP="00F664CC"/>
          <w:p w14:paraId="7837C5F0" w14:textId="77777777" w:rsidR="00F664CC" w:rsidRPr="00F664CC" w:rsidRDefault="00F664CC" w:rsidP="00F664CC"/>
          <w:p w14:paraId="4C570FAA" w14:textId="77777777" w:rsidR="00F664CC" w:rsidRDefault="00F664CC" w:rsidP="00F664CC"/>
          <w:p w14:paraId="09989209" w14:textId="0EB18C11" w:rsidR="00F664CC" w:rsidRPr="00F664CC" w:rsidRDefault="00F664CC" w:rsidP="00F664CC"/>
        </w:tc>
        <w:tc>
          <w:tcPr>
            <w:tcW w:w="1057" w:type="dxa"/>
          </w:tcPr>
          <w:p w14:paraId="3D2728BB" w14:textId="77777777" w:rsidR="00C227CD" w:rsidRPr="00872184" w:rsidRDefault="00C227CD" w:rsidP="00B377ED"/>
        </w:tc>
        <w:tc>
          <w:tcPr>
            <w:tcW w:w="376" w:type="dxa"/>
          </w:tcPr>
          <w:p w14:paraId="22525006" w14:textId="4F4B99D4" w:rsidR="00C227CD" w:rsidRDefault="00B004A4" w:rsidP="00B377ED">
            <w:r>
              <w:t>1</w:t>
            </w:r>
          </w:p>
        </w:tc>
        <w:tc>
          <w:tcPr>
            <w:tcW w:w="5106" w:type="dxa"/>
            <w:gridSpan w:val="2"/>
          </w:tcPr>
          <w:p w14:paraId="4AD4B199" w14:textId="53B05C89" w:rsidR="00C227CD" w:rsidRPr="00340875" w:rsidRDefault="00631E3E" w:rsidP="00F4512A">
            <w:bookmarkStart w:id="0" w:name="_Hlk38866617"/>
            <w:r>
              <w:t>Kasusaaja ettevõte rakendab keskkonnajuhtimissüsteemi</w:t>
            </w:r>
            <w:r w:rsidR="00CD3922">
              <w:t xml:space="preserve"> või ringmajanduse põhimõtteid või on viimase 3 aasta jooksul </w:t>
            </w:r>
            <w:r w:rsidR="008C3668">
              <w:t xml:space="preserve">teinud investeeringuid </w:t>
            </w:r>
            <w:r w:rsidR="00EB0747">
              <w:t>efektiivse</w:t>
            </w:r>
            <w:r w:rsidR="009C0C66">
              <w:t xml:space="preserve">maks </w:t>
            </w:r>
            <w:r w:rsidR="008C3668">
              <w:t>ressursi</w:t>
            </w:r>
            <w:r w:rsidR="009C0C66">
              <w:t xml:space="preserve">kasutuseks ettevõttes. </w:t>
            </w:r>
            <w:bookmarkEnd w:id="0"/>
          </w:p>
        </w:tc>
      </w:tr>
      <w:tr w:rsidR="00F664CC" w:rsidRPr="00872184" w14:paraId="434FBC2D" w14:textId="77777777" w:rsidTr="00CF18CC">
        <w:trPr>
          <w:trHeight w:val="1548"/>
        </w:trPr>
        <w:tc>
          <w:tcPr>
            <w:tcW w:w="2323" w:type="dxa"/>
          </w:tcPr>
          <w:p w14:paraId="74E761A7" w14:textId="3D62CA2D" w:rsidR="00F664CC" w:rsidRDefault="00F96D41" w:rsidP="00B377ED">
            <w:r>
              <w:t>Lisakriteerium</w:t>
            </w:r>
          </w:p>
        </w:tc>
        <w:tc>
          <w:tcPr>
            <w:tcW w:w="1057" w:type="dxa"/>
          </w:tcPr>
          <w:p w14:paraId="6B9A32B6" w14:textId="77777777" w:rsidR="00F664CC" w:rsidRPr="00872184" w:rsidRDefault="00F664CC" w:rsidP="00B377ED"/>
        </w:tc>
        <w:tc>
          <w:tcPr>
            <w:tcW w:w="376" w:type="dxa"/>
          </w:tcPr>
          <w:p w14:paraId="15985174" w14:textId="11F2E4E9" w:rsidR="00F664CC" w:rsidRDefault="00F96D41" w:rsidP="00B377ED">
            <w:r>
              <w:t>1</w:t>
            </w:r>
          </w:p>
        </w:tc>
        <w:tc>
          <w:tcPr>
            <w:tcW w:w="5106" w:type="dxa"/>
            <w:gridSpan w:val="2"/>
          </w:tcPr>
          <w:p w14:paraId="0F7980D2" w14:textId="72DF2B55" w:rsidR="00F664CC" w:rsidRDefault="00F96D41" w:rsidP="00F4512A">
            <w:r>
              <w:t>Kasusaaja ettevõte asub Põlva vallas.</w:t>
            </w:r>
          </w:p>
        </w:tc>
      </w:tr>
    </w:tbl>
    <w:p w14:paraId="09FED759" w14:textId="77777777" w:rsidR="00182EA1" w:rsidRDefault="00182EA1"/>
    <w:sectPr w:rsidR="00182EA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5CFB0" w14:textId="77777777" w:rsidR="00A81086" w:rsidRDefault="00A81086" w:rsidP="007F3455">
      <w:r>
        <w:separator/>
      </w:r>
    </w:p>
  </w:endnote>
  <w:endnote w:type="continuationSeparator" w:id="0">
    <w:p w14:paraId="13DCB026" w14:textId="77777777" w:rsidR="00A81086" w:rsidRDefault="00A81086" w:rsidP="007F3455">
      <w:r>
        <w:continuationSeparator/>
      </w:r>
    </w:p>
  </w:endnote>
  <w:endnote w:type="continuationNotice" w:id="1">
    <w:p w14:paraId="055E95C7" w14:textId="77777777" w:rsidR="00A81086" w:rsidRDefault="00A81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altName w:val="Lucidasans"/>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E6CD0" w14:textId="77777777" w:rsidR="00A81086" w:rsidRDefault="00A81086" w:rsidP="007F3455">
      <w:r>
        <w:separator/>
      </w:r>
    </w:p>
  </w:footnote>
  <w:footnote w:type="continuationSeparator" w:id="0">
    <w:p w14:paraId="03746BF3" w14:textId="77777777" w:rsidR="00A81086" w:rsidRDefault="00A81086" w:rsidP="007F3455">
      <w:r>
        <w:continuationSeparator/>
      </w:r>
    </w:p>
  </w:footnote>
  <w:footnote w:type="continuationNotice" w:id="1">
    <w:p w14:paraId="42BC608C" w14:textId="77777777" w:rsidR="00A81086" w:rsidRDefault="00A810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F13F9" w14:textId="6A1EDE7F" w:rsidR="00EB271D" w:rsidRPr="00CE41DB" w:rsidRDefault="00E96CF9" w:rsidP="007F3455">
    <w:pPr>
      <w:pStyle w:val="Pis"/>
      <w:rPr>
        <w:sz w:val="16"/>
        <w:szCs w:val="16"/>
      </w:rPr>
    </w:pPr>
    <w:r>
      <w:rPr>
        <w:sz w:val="16"/>
        <w:szCs w:val="16"/>
      </w:rPr>
      <w:t>Kagu</w:t>
    </w:r>
    <w:r w:rsidR="00722286">
      <w:rPr>
        <w:sz w:val="16"/>
        <w:szCs w:val="16"/>
      </w:rPr>
      <w:t>-Eesti spetsialisti</w:t>
    </w:r>
    <w:r w:rsidR="00860638">
      <w:rPr>
        <w:sz w:val="16"/>
        <w:szCs w:val="16"/>
      </w:rPr>
      <w:t>de eluasemete toetusmeetme</w:t>
    </w:r>
    <w:r w:rsidR="00EB271D" w:rsidRPr="00CE41DB">
      <w:rPr>
        <w:sz w:val="16"/>
        <w:szCs w:val="16"/>
      </w:rPr>
      <w:t xml:space="preserve"> taotluste hindamis</w:t>
    </w:r>
    <w:r w:rsidR="00CE41DB" w:rsidRPr="00CE41DB">
      <w:rPr>
        <w:sz w:val="16"/>
        <w:szCs w:val="16"/>
      </w:rPr>
      <w:t>juhend</w:t>
    </w:r>
    <w:r w:rsidR="00EB271D" w:rsidRPr="00CE41DB">
      <w:rPr>
        <w:sz w:val="16"/>
        <w:szCs w:val="16"/>
      </w:rPr>
      <w:t xml:space="preserve">                                                                                                                         </w:t>
    </w:r>
  </w:p>
  <w:p w14:paraId="2F9DFC9E" w14:textId="77777777" w:rsidR="00EB271D" w:rsidRDefault="00EB271D">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97CB9"/>
    <w:multiLevelType w:val="hybridMultilevel"/>
    <w:tmpl w:val="2078223A"/>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5A3FED"/>
    <w:multiLevelType w:val="hybridMultilevel"/>
    <w:tmpl w:val="E2CA0BC0"/>
    <w:lvl w:ilvl="0" w:tplc="08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DBE210E"/>
    <w:multiLevelType w:val="hybridMultilevel"/>
    <w:tmpl w:val="B3CE5BEC"/>
    <w:lvl w:ilvl="0" w:tplc="856C15FC">
      <w:start w:val="1"/>
      <w:numFmt w:val="decimal"/>
      <w:lvlText w:val="%1)"/>
      <w:lvlJc w:val="left"/>
      <w:pPr>
        <w:tabs>
          <w:tab w:val="num" w:pos="1353"/>
        </w:tabs>
        <w:ind w:left="1353"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04464BF"/>
    <w:multiLevelType w:val="hybridMultilevel"/>
    <w:tmpl w:val="61D45BEE"/>
    <w:lvl w:ilvl="0" w:tplc="08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0B37C39"/>
    <w:multiLevelType w:val="hybridMultilevel"/>
    <w:tmpl w:val="F162DF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1413B2F"/>
    <w:multiLevelType w:val="multilevel"/>
    <w:tmpl w:val="4312871E"/>
    <w:lvl w:ilvl="0">
      <w:start w:val="1"/>
      <w:numFmt w:val="decimal"/>
      <w:lvlText w:val="%1."/>
      <w:lvlJc w:val="left"/>
      <w:pPr>
        <w:ind w:left="360" w:hanging="360"/>
      </w:pPr>
      <w:rPr>
        <w:rFonts w:cs="Times New Roman"/>
      </w:rPr>
    </w:lvl>
    <w:lvl w:ilvl="1">
      <w:start w:val="1"/>
      <w:numFmt w:val="decimal"/>
      <w:lvlText w:val="%1.%2."/>
      <w:lvlJc w:val="left"/>
      <w:pPr>
        <w:ind w:left="522" w:hanging="432"/>
      </w:pPr>
      <w:rPr>
        <w:rFonts w:cs="Times New Roman"/>
        <w:b w:val="0"/>
      </w:rPr>
    </w:lvl>
    <w:lvl w:ilvl="2">
      <w:start w:val="1"/>
      <w:numFmt w:val="decimal"/>
      <w:lvlText w:val="%1.%2.%3."/>
      <w:lvlJc w:val="left"/>
      <w:pPr>
        <w:ind w:left="1404" w:hanging="504"/>
      </w:pPr>
      <w:rPr>
        <w:rFonts w:cs="Times New Roman"/>
        <w:i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3D527CA"/>
    <w:multiLevelType w:val="hybridMultilevel"/>
    <w:tmpl w:val="42D2EA2E"/>
    <w:lvl w:ilvl="0" w:tplc="04250001">
      <w:start w:val="1"/>
      <w:numFmt w:val="bullet"/>
      <w:lvlText w:val=""/>
      <w:lvlJc w:val="left"/>
      <w:pPr>
        <w:tabs>
          <w:tab w:val="num" w:pos="786"/>
        </w:tabs>
        <w:ind w:left="786"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E160B2"/>
    <w:multiLevelType w:val="hybridMultilevel"/>
    <w:tmpl w:val="CDEC6A00"/>
    <w:lvl w:ilvl="0" w:tplc="92A8C228">
      <w:start w:val="1"/>
      <w:numFmt w:val="decimal"/>
      <w:lvlText w:val="%1."/>
      <w:lvlJc w:val="left"/>
      <w:pPr>
        <w:tabs>
          <w:tab w:val="num" w:pos="927"/>
        </w:tabs>
        <w:ind w:left="927" w:hanging="360"/>
      </w:pPr>
      <w:rPr>
        <w:rFonts w:hint="default"/>
      </w:rPr>
    </w:lvl>
    <w:lvl w:ilvl="1" w:tplc="856C15FC">
      <w:start w:val="1"/>
      <w:numFmt w:val="decimal"/>
      <w:lvlText w:val="%2)"/>
      <w:lvlJc w:val="left"/>
      <w:pPr>
        <w:tabs>
          <w:tab w:val="num" w:pos="1353"/>
        </w:tabs>
        <w:ind w:left="1353" w:hanging="360"/>
      </w:pPr>
      <w:rPr>
        <w:rFonts w:hint="default"/>
      </w:r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44DA15DD"/>
    <w:multiLevelType w:val="hybridMultilevel"/>
    <w:tmpl w:val="F0569E66"/>
    <w:lvl w:ilvl="0" w:tplc="08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D8B2179"/>
    <w:multiLevelType w:val="hybridMultilevel"/>
    <w:tmpl w:val="C0C854E0"/>
    <w:lvl w:ilvl="0" w:tplc="08090001">
      <w:start w:val="1"/>
      <w:numFmt w:val="bullet"/>
      <w:lvlText w:val=""/>
      <w:lvlJc w:val="left"/>
      <w:pPr>
        <w:ind w:left="1506" w:hanging="360"/>
      </w:pPr>
      <w:rPr>
        <w:rFonts w:ascii="Symbol" w:hAnsi="Symbol" w:hint="default"/>
      </w:rPr>
    </w:lvl>
    <w:lvl w:ilvl="1" w:tplc="04250003" w:tentative="1">
      <w:start w:val="1"/>
      <w:numFmt w:val="bullet"/>
      <w:lvlText w:val="o"/>
      <w:lvlJc w:val="left"/>
      <w:pPr>
        <w:ind w:left="2226" w:hanging="360"/>
      </w:pPr>
      <w:rPr>
        <w:rFonts w:ascii="Courier New" w:hAnsi="Courier New" w:cs="Courier New" w:hint="default"/>
      </w:rPr>
    </w:lvl>
    <w:lvl w:ilvl="2" w:tplc="04250005" w:tentative="1">
      <w:start w:val="1"/>
      <w:numFmt w:val="bullet"/>
      <w:lvlText w:val=""/>
      <w:lvlJc w:val="left"/>
      <w:pPr>
        <w:ind w:left="2946" w:hanging="360"/>
      </w:pPr>
      <w:rPr>
        <w:rFonts w:ascii="Wingdings" w:hAnsi="Wingdings" w:cs="Wingdings" w:hint="default"/>
      </w:rPr>
    </w:lvl>
    <w:lvl w:ilvl="3" w:tplc="04250001" w:tentative="1">
      <w:start w:val="1"/>
      <w:numFmt w:val="bullet"/>
      <w:lvlText w:val=""/>
      <w:lvlJc w:val="left"/>
      <w:pPr>
        <w:ind w:left="3666" w:hanging="360"/>
      </w:pPr>
      <w:rPr>
        <w:rFonts w:ascii="Symbol" w:hAnsi="Symbol" w:cs="Symbol" w:hint="default"/>
      </w:rPr>
    </w:lvl>
    <w:lvl w:ilvl="4" w:tplc="04250003" w:tentative="1">
      <w:start w:val="1"/>
      <w:numFmt w:val="bullet"/>
      <w:lvlText w:val="o"/>
      <w:lvlJc w:val="left"/>
      <w:pPr>
        <w:ind w:left="4386" w:hanging="360"/>
      </w:pPr>
      <w:rPr>
        <w:rFonts w:ascii="Courier New" w:hAnsi="Courier New" w:cs="Courier New" w:hint="default"/>
      </w:rPr>
    </w:lvl>
    <w:lvl w:ilvl="5" w:tplc="04250005" w:tentative="1">
      <w:start w:val="1"/>
      <w:numFmt w:val="bullet"/>
      <w:lvlText w:val=""/>
      <w:lvlJc w:val="left"/>
      <w:pPr>
        <w:ind w:left="5106" w:hanging="360"/>
      </w:pPr>
      <w:rPr>
        <w:rFonts w:ascii="Wingdings" w:hAnsi="Wingdings" w:cs="Wingdings" w:hint="default"/>
      </w:rPr>
    </w:lvl>
    <w:lvl w:ilvl="6" w:tplc="04250001" w:tentative="1">
      <w:start w:val="1"/>
      <w:numFmt w:val="bullet"/>
      <w:lvlText w:val=""/>
      <w:lvlJc w:val="left"/>
      <w:pPr>
        <w:ind w:left="5826" w:hanging="360"/>
      </w:pPr>
      <w:rPr>
        <w:rFonts w:ascii="Symbol" w:hAnsi="Symbol" w:cs="Symbol" w:hint="default"/>
      </w:rPr>
    </w:lvl>
    <w:lvl w:ilvl="7" w:tplc="04250003" w:tentative="1">
      <w:start w:val="1"/>
      <w:numFmt w:val="bullet"/>
      <w:lvlText w:val="o"/>
      <w:lvlJc w:val="left"/>
      <w:pPr>
        <w:ind w:left="6546" w:hanging="360"/>
      </w:pPr>
      <w:rPr>
        <w:rFonts w:ascii="Courier New" w:hAnsi="Courier New" w:cs="Courier New" w:hint="default"/>
      </w:rPr>
    </w:lvl>
    <w:lvl w:ilvl="8" w:tplc="04250005" w:tentative="1">
      <w:start w:val="1"/>
      <w:numFmt w:val="bullet"/>
      <w:lvlText w:val=""/>
      <w:lvlJc w:val="left"/>
      <w:pPr>
        <w:ind w:left="7266" w:hanging="360"/>
      </w:pPr>
      <w:rPr>
        <w:rFonts w:ascii="Wingdings" w:hAnsi="Wingdings" w:cs="Wingdings" w:hint="default"/>
      </w:rPr>
    </w:lvl>
  </w:abstractNum>
  <w:abstractNum w:abstractNumId="10" w15:restartNumberingAfterBreak="0">
    <w:nsid w:val="50FE7679"/>
    <w:multiLevelType w:val="hybridMultilevel"/>
    <w:tmpl w:val="C23CF5CE"/>
    <w:lvl w:ilvl="0" w:tplc="08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67916D5D"/>
    <w:multiLevelType w:val="hybridMultilevel"/>
    <w:tmpl w:val="A21C8F5C"/>
    <w:lvl w:ilvl="0" w:tplc="08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75396667"/>
    <w:multiLevelType w:val="hybridMultilevel"/>
    <w:tmpl w:val="70389138"/>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E637B6"/>
    <w:multiLevelType w:val="hybridMultilevel"/>
    <w:tmpl w:val="F446E886"/>
    <w:lvl w:ilvl="0" w:tplc="107815AE">
      <w:start w:val="6"/>
      <w:numFmt w:val="decimal"/>
      <w:lvlText w:val="%1."/>
      <w:lvlJc w:val="left"/>
      <w:pPr>
        <w:tabs>
          <w:tab w:val="num" w:pos="1440"/>
        </w:tabs>
        <w:ind w:left="144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13"/>
  </w:num>
  <w:num w:numId="4">
    <w:abstractNumId w:val="12"/>
  </w:num>
  <w:num w:numId="5">
    <w:abstractNumId w:val="0"/>
  </w:num>
  <w:num w:numId="6">
    <w:abstractNumId w:val="6"/>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9"/>
  </w:num>
  <w:num w:numId="12">
    <w:abstractNumId w:val="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98"/>
    <w:rsid w:val="00002951"/>
    <w:rsid w:val="00005D81"/>
    <w:rsid w:val="00007912"/>
    <w:rsid w:val="00021D9D"/>
    <w:rsid w:val="0002229C"/>
    <w:rsid w:val="000270B3"/>
    <w:rsid w:val="000309C4"/>
    <w:rsid w:val="00036F14"/>
    <w:rsid w:val="000414A9"/>
    <w:rsid w:val="00041538"/>
    <w:rsid w:val="00042173"/>
    <w:rsid w:val="00043EAC"/>
    <w:rsid w:val="00047ADC"/>
    <w:rsid w:val="000571C4"/>
    <w:rsid w:val="0006257E"/>
    <w:rsid w:val="00063804"/>
    <w:rsid w:val="000651DE"/>
    <w:rsid w:val="00072ACB"/>
    <w:rsid w:val="00083D76"/>
    <w:rsid w:val="000843A5"/>
    <w:rsid w:val="00084470"/>
    <w:rsid w:val="0008447A"/>
    <w:rsid w:val="000A21BB"/>
    <w:rsid w:val="000A5803"/>
    <w:rsid w:val="000B086A"/>
    <w:rsid w:val="000C1FDD"/>
    <w:rsid w:val="000D2572"/>
    <w:rsid w:val="000D60EB"/>
    <w:rsid w:val="000E05D9"/>
    <w:rsid w:val="000E1400"/>
    <w:rsid w:val="000E2D89"/>
    <w:rsid w:val="000E37E2"/>
    <w:rsid w:val="000E6A01"/>
    <w:rsid w:val="000F242B"/>
    <w:rsid w:val="00111B25"/>
    <w:rsid w:val="001144F4"/>
    <w:rsid w:val="00116AB0"/>
    <w:rsid w:val="00122DCF"/>
    <w:rsid w:val="00123518"/>
    <w:rsid w:val="00123714"/>
    <w:rsid w:val="00127064"/>
    <w:rsid w:val="001307AE"/>
    <w:rsid w:val="0013168E"/>
    <w:rsid w:val="0014042C"/>
    <w:rsid w:val="001422D1"/>
    <w:rsid w:val="001424A4"/>
    <w:rsid w:val="00142E1C"/>
    <w:rsid w:val="00143FE4"/>
    <w:rsid w:val="00144A4C"/>
    <w:rsid w:val="001464C5"/>
    <w:rsid w:val="00164EC2"/>
    <w:rsid w:val="0017237D"/>
    <w:rsid w:val="00174A81"/>
    <w:rsid w:val="00182EA1"/>
    <w:rsid w:val="00185095"/>
    <w:rsid w:val="00195813"/>
    <w:rsid w:val="001972B7"/>
    <w:rsid w:val="001B2C81"/>
    <w:rsid w:val="001B78CC"/>
    <w:rsid w:val="001D75A6"/>
    <w:rsid w:val="001E2AD3"/>
    <w:rsid w:val="001E68F6"/>
    <w:rsid w:val="001E7580"/>
    <w:rsid w:val="00200BEA"/>
    <w:rsid w:val="00225D72"/>
    <w:rsid w:val="002316BD"/>
    <w:rsid w:val="002330D0"/>
    <w:rsid w:val="002527BC"/>
    <w:rsid w:val="00277905"/>
    <w:rsid w:val="00286CB1"/>
    <w:rsid w:val="0029215E"/>
    <w:rsid w:val="002A44D6"/>
    <w:rsid w:val="002A6381"/>
    <w:rsid w:val="002A76F6"/>
    <w:rsid w:val="002B2284"/>
    <w:rsid w:val="002C08F1"/>
    <w:rsid w:val="002D1B0C"/>
    <w:rsid w:val="002E5F63"/>
    <w:rsid w:val="002F007A"/>
    <w:rsid w:val="00301F9F"/>
    <w:rsid w:val="00306D28"/>
    <w:rsid w:val="00310524"/>
    <w:rsid w:val="00311758"/>
    <w:rsid w:val="003173CC"/>
    <w:rsid w:val="00325FC1"/>
    <w:rsid w:val="003267B3"/>
    <w:rsid w:val="003269D2"/>
    <w:rsid w:val="00327FA0"/>
    <w:rsid w:val="00332B5E"/>
    <w:rsid w:val="00334A3D"/>
    <w:rsid w:val="0033618E"/>
    <w:rsid w:val="00340520"/>
    <w:rsid w:val="00340875"/>
    <w:rsid w:val="003442B6"/>
    <w:rsid w:val="00361AA0"/>
    <w:rsid w:val="00366F99"/>
    <w:rsid w:val="00386117"/>
    <w:rsid w:val="003B2920"/>
    <w:rsid w:val="003B6C17"/>
    <w:rsid w:val="003C4DCD"/>
    <w:rsid w:val="003D5EB9"/>
    <w:rsid w:val="003D7487"/>
    <w:rsid w:val="003E77D3"/>
    <w:rsid w:val="003F6272"/>
    <w:rsid w:val="003F7A40"/>
    <w:rsid w:val="00407162"/>
    <w:rsid w:val="00411F28"/>
    <w:rsid w:val="00422ABC"/>
    <w:rsid w:val="004272FE"/>
    <w:rsid w:val="00435E37"/>
    <w:rsid w:val="00441671"/>
    <w:rsid w:val="0044481C"/>
    <w:rsid w:val="00447293"/>
    <w:rsid w:val="00452385"/>
    <w:rsid w:val="00455402"/>
    <w:rsid w:val="00463125"/>
    <w:rsid w:val="00483D87"/>
    <w:rsid w:val="004864D5"/>
    <w:rsid w:val="00492D18"/>
    <w:rsid w:val="00493E91"/>
    <w:rsid w:val="004941DB"/>
    <w:rsid w:val="00494869"/>
    <w:rsid w:val="004A2F27"/>
    <w:rsid w:val="004A4669"/>
    <w:rsid w:val="004A6098"/>
    <w:rsid w:val="004A6EE3"/>
    <w:rsid w:val="004B0A93"/>
    <w:rsid w:val="004C45B2"/>
    <w:rsid w:val="004C5840"/>
    <w:rsid w:val="004D1FA3"/>
    <w:rsid w:val="004D415F"/>
    <w:rsid w:val="004D5A4D"/>
    <w:rsid w:val="004E1E6A"/>
    <w:rsid w:val="004E7E5E"/>
    <w:rsid w:val="004F27CC"/>
    <w:rsid w:val="004F656A"/>
    <w:rsid w:val="004F6CFB"/>
    <w:rsid w:val="00502236"/>
    <w:rsid w:val="005174FB"/>
    <w:rsid w:val="00517D3C"/>
    <w:rsid w:val="0053533C"/>
    <w:rsid w:val="0053684D"/>
    <w:rsid w:val="00537A04"/>
    <w:rsid w:val="0054304A"/>
    <w:rsid w:val="005466D2"/>
    <w:rsid w:val="005515C6"/>
    <w:rsid w:val="005524C2"/>
    <w:rsid w:val="00560E2A"/>
    <w:rsid w:val="00570D9C"/>
    <w:rsid w:val="00580AB8"/>
    <w:rsid w:val="005817EF"/>
    <w:rsid w:val="0058480E"/>
    <w:rsid w:val="00585B0C"/>
    <w:rsid w:val="0059415E"/>
    <w:rsid w:val="005A66CF"/>
    <w:rsid w:val="005C24F8"/>
    <w:rsid w:val="005E43A4"/>
    <w:rsid w:val="005F1136"/>
    <w:rsid w:val="005F23EB"/>
    <w:rsid w:val="005F3F15"/>
    <w:rsid w:val="005F5BB7"/>
    <w:rsid w:val="0060325E"/>
    <w:rsid w:val="0061123C"/>
    <w:rsid w:val="0062528F"/>
    <w:rsid w:val="006255E4"/>
    <w:rsid w:val="00631E3E"/>
    <w:rsid w:val="00637754"/>
    <w:rsid w:val="00650E4F"/>
    <w:rsid w:val="00654D8F"/>
    <w:rsid w:val="006617FC"/>
    <w:rsid w:val="00672DD3"/>
    <w:rsid w:val="00673C61"/>
    <w:rsid w:val="0067728D"/>
    <w:rsid w:val="00681345"/>
    <w:rsid w:val="00682B7E"/>
    <w:rsid w:val="00683847"/>
    <w:rsid w:val="00685875"/>
    <w:rsid w:val="00686234"/>
    <w:rsid w:val="0068761D"/>
    <w:rsid w:val="00691A02"/>
    <w:rsid w:val="006A3546"/>
    <w:rsid w:val="006A7B17"/>
    <w:rsid w:val="006B418D"/>
    <w:rsid w:val="006C210A"/>
    <w:rsid w:val="006C2121"/>
    <w:rsid w:val="006D229D"/>
    <w:rsid w:val="006D7942"/>
    <w:rsid w:val="006E4011"/>
    <w:rsid w:val="006E44AD"/>
    <w:rsid w:val="006E5B30"/>
    <w:rsid w:val="006E5CF2"/>
    <w:rsid w:val="006E798C"/>
    <w:rsid w:val="006F0090"/>
    <w:rsid w:val="006F5C50"/>
    <w:rsid w:val="00701804"/>
    <w:rsid w:val="00710196"/>
    <w:rsid w:val="007123E2"/>
    <w:rsid w:val="0071279B"/>
    <w:rsid w:val="0071324D"/>
    <w:rsid w:val="00720970"/>
    <w:rsid w:val="00720BE0"/>
    <w:rsid w:val="00722286"/>
    <w:rsid w:val="00724D66"/>
    <w:rsid w:val="00730DF4"/>
    <w:rsid w:val="007358E4"/>
    <w:rsid w:val="0074603A"/>
    <w:rsid w:val="00750737"/>
    <w:rsid w:val="00767FF5"/>
    <w:rsid w:val="00771C2D"/>
    <w:rsid w:val="00773FA3"/>
    <w:rsid w:val="00792B62"/>
    <w:rsid w:val="00794E5A"/>
    <w:rsid w:val="007A1702"/>
    <w:rsid w:val="007B0B27"/>
    <w:rsid w:val="007C1E58"/>
    <w:rsid w:val="007D04DA"/>
    <w:rsid w:val="007D3804"/>
    <w:rsid w:val="007D7500"/>
    <w:rsid w:val="007E7086"/>
    <w:rsid w:val="007F2A3A"/>
    <w:rsid w:val="007F3455"/>
    <w:rsid w:val="00800C7D"/>
    <w:rsid w:val="008118B8"/>
    <w:rsid w:val="00812DD2"/>
    <w:rsid w:val="008168A9"/>
    <w:rsid w:val="00821333"/>
    <w:rsid w:val="00826B64"/>
    <w:rsid w:val="00827C6E"/>
    <w:rsid w:val="008301D5"/>
    <w:rsid w:val="0084265F"/>
    <w:rsid w:val="00851EDC"/>
    <w:rsid w:val="00857452"/>
    <w:rsid w:val="00860638"/>
    <w:rsid w:val="008625EF"/>
    <w:rsid w:val="008653F2"/>
    <w:rsid w:val="00865C48"/>
    <w:rsid w:val="00875640"/>
    <w:rsid w:val="00891B9B"/>
    <w:rsid w:val="00895453"/>
    <w:rsid w:val="0089650F"/>
    <w:rsid w:val="008A5397"/>
    <w:rsid w:val="008B1482"/>
    <w:rsid w:val="008B64A8"/>
    <w:rsid w:val="008B6794"/>
    <w:rsid w:val="008C1C2F"/>
    <w:rsid w:val="008C3668"/>
    <w:rsid w:val="008D2A46"/>
    <w:rsid w:val="008D5CF8"/>
    <w:rsid w:val="008E4780"/>
    <w:rsid w:val="008F63E6"/>
    <w:rsid w:val="009011EA"/>
    <w:rsid w:val="00901E53"/>
    <w:rsid w:val="009049F5"/>
    <w:rsid w:val="00904ECE"/>
    <w:rsid w:val="00910562"/>
    <w:rsid w:val="00914C99"/>
    <w:rsid w:val="0091558D"/>
    <w:rsid w:val="009174E0"/>
    <w:rsid w:val="00923067"/>
    <w:rsid w:val="00926594"/>
    <w:rsid w:val="00930D0A"/>
    <w:rsid w:val="00931E5D"/>
    <w:rsid w:val="0093268C"/>
    <w:rsid w:val="0093446D"/>
    <w:rsid w:val="00937B4B"/>
    <w:rsid w:val="00947CED"/>
    <w:rsid w:val="00950903"/>
    <w:rsid w:val="00950CE0"/>
    <w:rsid w:val="00952E2C"/>
    <w:rsid w:val="00964EC4"/>
    <w:rsid w:val="009831ED"/>
    <w:rsid w:val="00983EEF"/>
    <w:rsid w:val="00992300"/>
    <w:rsid w:val="00993978"/>
    <w:rsid w:val="009A1594"/>
    <w:rsid w:val="009C04D8"/>
    <w:rsid w:val="009C0C66"/>
    <w:rsid w:val="009C7568"/>
    <w:rsid w:val="009D3BEB"/>
    <w:rsid w:val="009D4929"/>
    <w:rsid w:val="009D4BCF"/>
    <w:rsid w:val="009D58A9"/>
    <w:rsid w:val="00A00CEF"/>
    <w:rsid w:val="00A0512C"/>
    <w:rsid w:val="00A052AD"/>
    <w:rsid w:val="00A16547"/>
    <w:rsid w:val="00A17888"/>
    <w:rsid w:val="00A20836"/>
    <w:rsid w:val="00A23B59"/>
    <w:rsid w:val="00A24E7A"/>
    <w:rsid w:val="00A25249"/>
    <w:rsid w:val="00A27300"/>
    <w:rsid w:val="00A333BD"/>
    <w:rsid w:val="00A33E2E"/>
    <w:rsid w:val="00A40099"/>
    <w:rsid w:val="00A420C6"/>
    <w:rsid w:val="00A471F6"/>
    <w:rsid w:val="00A510BC"/>
    <w:rsid w:val="00A5280D"/>
    <w:rsid w:val="00A55D21"/>
    <w:rsid w:val="00A561C0"/>
    <w:rsid w:val="00A6247E"/>
    <w:rsid w:val="00A62E28"/>
    <w:rsid w:val="00A6554E"/>
    <w:rsid w:val="00A757CA"/>
    <w:rsid w:val="00A81086"/>
    <w:rsid w:val="00A903BD"/>
    <w:rsid w:val="00A976FC"/>
    <w:rsid w:val="00AA0A49"/>
    <w:rsid w:val="00AA20C0"/>
    <w:rsid w:val="00AB0028"/>
    <w:rsid w:val="00AC153B"/>
    <w:rsid w:val="00AC59E1"/>
    <w:rsid w:val="00AD1B4A"/>
    <w:rsid w:val="00AD498E"/>
    <w:rsid w:val="00AD635D"/>
    <w:rsid w:val="00AE31FC"/>
    <w:rsid w:val="00AE48C5"/>
    <w:rsid w:val="00AE4B9A"/>
    <w:rsid w:val="00AF0EB9"/>
    <w:rsid w:val="00B004A4"/>
    <w:rsid w:val="00B014DA"/>
    <w:rsid w:val="00B04EFC"/>
    <w:rsid w:val="00B12D1E"/>
    <w:rsid w:val="00B13753"/>
    <w:rsid w:val="00B165E5"/>
    <w:rsid w:val="00B26907"/>
    <w:rsid w:val="00B27239"/>
    <w:rsid w:val="00B303CD"/>
    <w:rsid w:val="00B34FEB"/>
    <w:rsid w:val="00B377ED"/>
    <w:rsid w:val="00B4278E"/>
    <w:rsid w:val="00B51BA7"/>
    <w:rsid w:val="00B5511E"/>
    <w:rsid w:val="00B56B30"/>
    <w:rsid w:val="00B56BC8"/>
    <w:rsid w:val="00B6215E"/>
    <w:rsid w:val="00B7714D"/>
    <w:rsid w:val="00B81487"/>
    <w:rsid w:val="00B90779"/>
    <w:rsid w:val="00BA176C"/>
    <w:rsid w:val="00BA1DD4"/>
    <w:rsid w:val="00BA2529"/>
    <w:rsid w:val="00BA3F9C"/>
    <w:rsid w:val="00BA46CE"/>
    <w:rsid w:val="00BA7D92"/>
    <w:rsid w:val="00BB1296"/>
    <w:rsid w:val="00BB61DC"/>
    <w:rsid w:val="00BC1311"/>
    <w:rsid w:val="00BC3E8D"/>
    <w:rsid w:val="00BD6703"/>
    <w:rsid w:val="00BE0132"/>
    <w:rsid w:val="00BE07DA"/>
    <w:rsid w:val="00BF045D"/>
    <w:rsid w:val="00BF18D5"/>
    <w:rsid w:val="00BF2AF7"/>
    <w:rsid w:val="00BF4558"/>
    <w:rsid w:val="00BF54F4"/>
    <w:rsid w:val="00BF7A31"/>
    <w:rsid w:val="00BF7F43"/>
    <w:rsid w:val="00C03BDB"/>
    <w:rsid w:val="00C07EE6"/>
    <w:rsid w:val="00C227CD"/>
    <w:rsid w:val="00C23A10"/>
    <w:rsid w:val="00C369EF"/>
    <w:rsid w:val="00C36D28"/>
    <w:rsid w:val="00C4187B"/>
    <w:rsid w:val="00C428C1"/>
    <w:rsid w:val="00C445D6"/>
    <w:rsid w:val="00C465B5"/>
    <w:rsid w:val="00C51D0C"/>
    <w:rsid w:val="00C61018"/>
    <w:rsid w:val="00C7018D"/>
    <w:rsid w:val="00C75637"/>
    <w:rsid w:val="00C83C87"/>
    <w:rsid w:val="00C84A9E"/>
    <w:rsid w:val="00C86074"/>
    <w:rsid w:val="00C8696D"/>
    <w:rsid w:val="00C87C0B"/>
    <w:rsid w:val="00C91E52"/>
    <w:rsid w:val="00CA1B13"/>
    <w:rsid w:val="00CB4D55"/>
    <w:rsid w:val="00CB67DA"/>
    <w:rsid w:val="00CB6A3E"/>
    <w:rsid w:val="00CC4477"/>
    <w:rsid w:val="00CC7C57"/>
    <w:rsid w:val="00CD018B"/>
    <w:rsid w:val="00CD3922"/>
    <w:rsid w:val="00CE41DB"/>
    <w:rsid w:val="00CE41F3"/>
    <w:rsid w:val="00CF18CC"/>
    <w:rsid w:val="00CF3C9D"/>
    <w:rsid w:val="00CF6838"/>
    <w:rsid w:val="00D008AE"/>
    <w:rsid w:val="00D06EBD"/>
    <w:rsid w:val="00D1440D"/>
    <w:rsid w:val="00D14985"/>
    <w:rsid w:val="00D24F14"/>
    <w:rsid w:val="00D305C3"/>
    <w:rsid w:val="00D32447"/>
    <w:rsid w:val="00D52677"/>
    <w:rsid w:val="00D6323F"/>
    <w:rsid w:val="00D6558B"/>
    <w:rsid w:val="00D726E2"/>
    <w:rsid w:val="00D761C8"/>
    <w:rsid w:val="00D827DF"/>
    <w:rsid w:val="00DA32EF"/>
    <w:rsid w:val="00DA3AB1"/>
    <w:rsid w:val="00DA6A12"/>
    <w:rsid w:val="00DB2DE0"/>
    <w:rsid w:val="00DB5A95"/>
    <w:rsid w:val="00DC33E5"/>
    <w:rsid w:val="00DC741B"/>
    <w:rsid w:val="00DC79B9"/>
    <w:rsid w:val="00DD6CAE"/>
    <w:rsid w:val="00DE1965"/>
    <w:rsid w:val="00DE6AFA"/>
    <w:rsid w:val="00E058C0"/>
    <w:rsid w:val="00E11148"/>
    <w:rsid w:val="00E135A7"/>
    <w:rsid w:val="00E1417C"/>
    <w:rsid w:val="00E14BC7"/>
    <w:rsid w:val="00E15685"/>
    <w:rsid w:val="00E15F34"/>
    <w:rsid w:val="00E21057"/>
    <w:rsid w:val="00E21C36"/>
    <w:rsid w:val="00E225C6"/>
    <w:rsid w:val="00E246E4"/>
    <w:rsid w:val="00E24C6A"/>
    <w:rsid w:val="00E33AC9"/>
    <w:rsid w:val="00E6270E"/>
    <w:rsid w:val="00E70A17"/>
    <w:rsid w:val="00E74C0C"/>
    <w:rsid w:val="00E76BB9"/>
    <w:rsid w:val="00E81F6B"/>
    <w:rsid w:val="00E82C3A"/>
    <w:rsid w:val="00E86D5C"/>
    <w:rsid w:val="00E91232"/>
    <w:rsid w:val="00E96CF9"/>
    <w:rsid w:val="00E96D65"/>
    <w:rsid w:val="00EA618E"/>
    <w:rsid w:val="00EB0747"/>
    <w:rsid w:val="00EB1AE4"/>
    <w:rsid w:val="00EB271D"/>
    <w:rsid w:val="00EC216D"/>
    <w:rsid w:val="00EC40C4"/>
    <w:rsid w:val="00EC7F99"/>
    <w:rsid w:val="00ED5C1A"/>
    <w:rsid w:val="00EF5BDE"/>
    <w:rsid w:val="00F06495"/>
    <w:rsid w:val="00F07CEE"/>
    <w:rsid w:val="00F16356"/>
    <w:rsid w:val="00F16553"/>
    <w:rsid w:val="00F34446"/>
    <w:rsid w:val="00F4512A"/>
    <w:rsid w:val="00F57F33"/>
    <w:rsid w:val="00F61872"/>
    <w:rsid w:val="00F65BB7"/>
    <w:rsid w:val="00F664CC"/>
    <w:rsid w:val="00F67FF3"/>
    <w:rsid w:val="00F7754C"/>
    <w:rsid w:val="00F84D12"/>
    <w:rsid w:val="00F84DA3"/>
    <w:rsid w:val="00F91ED9"/>
    <w:rsid w:val="00F91F74"/>
    <w:rsid w:val="00F96D41"/>
    <w:rsid w:val="00FA0BB4"/>
    <w:rsid w:val="00FA36D2"/>
    <w:rsid w:val="00FB04B1"/>
    <w:rsid w:val="00FB0F0E"/>
    <w:rsid w:val="00FB5F90"/>
    <w:rsid w:val="00FB7041"/>
    <w:rsid w:val="00FC01C1"/>
    <w:rsid w:val="00FC58D4"/>
    <w:rsid w:val="00FC7832"/>
    <w:rsid w:val="00FD05CD"/>
    <w:rsid w:val="00FE5C5A"/>
    <w:rsid w:val="00FE7593"/>
    <w:rsid w:val="00FE7AEC"/>
    <w:rsid w:val="00FF1874"/>
    <w:rsid w:val="00FF25C2"/>
    <w:rsid w:val="00FF2617"/>
    <w:rsid w:val="00FF369A"/>
    <w:rsid w:val="00FF7B7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CFE6"/>
  <w15:docId w15:val="{C3A2789F-E92D-4C8C-B140-8639D267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A6098"/>
    <w:rPr>
      <w:rFonts w:ascii="Times New Roman" w:eastAsia="Times New Roman" w:hAnsi="Times New Roman"/>
      <w:sz w:val="24"/>
    </w:rPr>
  </w:style>
  <w:style w:type="paragraph" w:styleId="Pealkiri1">
    <w:name w:val="heading 1"/>
    <w:basedOn w:val="Normaallaad"/>
    <w:next w:val="Normaallaad"/>
    <w:link w:val="Pealkiri1Mrk"/>
    <w:uiPriority w:val="9"/>
    <w:qFormat/>
    <w:rsid w:val="00EF5BDE"/>
    <w:pPr>
      <w:keepNext/>
      <w:keepLines/>
      <w:widowControl w:val="0"/>
      <w:suppressAutoHyphens/>
      <w:spacing w:before="480" w:line="238" w:lineRule="exact"/>
      <w:jc w:val="both"/>
      <w:outlineLvl w:val="0"/>
    </w:pPr>
    <w:rPr>
      <w:rFonts w:asciiTheme="majorHAnsi" w:eastAsiaTheme="majorEastAsia" w:hAnsiTheme="majorHAnsi" w:cs="Mangal"/>
      <w:b/>
      <w:bCs/>
      <w:color w:val="365F91" w:themeColor="accent1" w:themeShade="BF"/>
      <w:kern w:val="1"/>
      <w:sz w:val="28"/>
      <w:szCs w:val="25"/>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4A6098"/>
    <w:pPr>
      <w:ind w:left="720"/>
      <w:contextualSpacing/>
    </w:pPr>
  </w:style>
  <w:style w:type="character" w:styleId="Kommentaariviide">
    <w:name w:val="annotation reference"/>
    <w:uiPriority w:val="99"/>
    <w:semiHidden/>
    <w:unhideWhenUsed/>
    <w:rsid w:val="000843A5"/>
    <w:rPr>
      <w:sz w:val="16"/>
      <w:szCs w:val="16"/>
    </w:rPr>
  </w:style>
  <w:style w:type="paragraph" w:styleId="Kommentaaritekst">
    <w:name w:val="annotation text"/>
    <w:basedOn w:val="Normaallaad"/>
    <w:link w:val="KommentaaritekstMrk"/>
    <w:uiPriority w:val="99"/>
    <w:unhideWhenUsed/>
    <w:rsid w:val="000843A5"/>
    <w:rPr>
      <w:sz w:val="20"/>
    </w:rPr>
  </w:style>
  <w:style w:type="character" w:customStyle="1" w:styleId="KommentaaritekstMrk">
    <w:name w:val="Kommentaari tekst Märk"/>
    <w:link w:val="Kommentaaritekst"/>
    <w:uiPriority w:val="99"/>
    <w:rsid w:val="000843A5"/>
    <w:rPr>
      <w:rFonts w:ascii="Times New Roman" w:eastAsia="Times New Roman" w:hAnsi="Times New Roman" w:cs="Times New Roman"/>
      <w:sz w:val="20"/>
      <w:szCs w:val="20"/>
      <w:lang w:eastAsia="et-EE"/>
    </w:rPr>
  </w:style>
  <w:style w:type="paragraph" w:styleId="Kommentaariteema">
    <w:name w:val="annotation subject"/>
    <w:basedOn w:val="Kommentaaritekst"/>
    <w:next w:val="Kommentaaritekst"/>
    <w:link w:val="KommentaariteemaMrk"/>
    <w:uiPriority w:val="99"/>
    <w:semiHidden/>
    <w:unhideWhenUsed/>
    <w:rsid w:val="000843A5"/>
    <w:rPr>
      <w:b/>
      <w:bCs/>
    </w:rPr>
  </w:style>
  <w:style w:type="character" w:customStyle="1" w:styleId="KommentaariteemaMrk">
    <w:name w:val="Kommentaari teema Märk"/>
    <w:link w:val="Kommentaariteema"/>
    <w:uiPriority w:val="99"/>
    <w:semiHidden/>
    <w:rsid w:val="000843A5"/>
    <w:rPr>
      <w:rFonts w:ascii="Times New Roman" w:eastAsia="Times New Roman" w:hAnsi="Times New Roman" w:cs="Times New Roman"/>
      <w:b/>
      <w:bCs/>
      <w:sz w:val="20"/>
      <w:szCs w:val="20"/>
      <w:lang w:eastAsia="et-EE"/>
    </w:rPr>
  </w:style>
  <w:style w:type="paragraph" w:styleId="Jutumullitekst">
    <w:name w:val="Balloon Text"/>
    <w:basedOn w:val="Normaallaad"/>
    <w:link w:val="JutumullitekstMrk"/>
    <w:uiPriority w:val="99"/>
    <w:semiHidden/>
    <w:unhideWhenUsed/>
    <w:rsid w:val="000843A5"/>
    <w:rPr>
      <w:rFonts w:ascii="Tahoma" w:hAnsi="Tahoma" w:cs="Tahoma"/>
      <w:sz w:val="16"/>
      <w:szCs w:val="16"/>
    </w:rPr>
  </w:style>
  <w:style w:type="character" w:customStyle="1" w:styleId="JutumullitekstMrk">
    <w:name w:val="Jutumullitekst Märk"/>
    <w:link w:val="Jutumullitekst"/>
    <w:uiPriority w:val="99"/>
    <w:semiHidden/>
    <w:rsid w:val="000843A5"/>
    <w:rPr>
      <w:rFonts w:ascii="Tahoma" w:eastAsia="Times New Roman" w:hAnsi="Tahoma" w:cs="Tahoma"/>
      <w:sz w:val="16"/>
      <w:szCs w:val="16"/>
      <w:lang w:eastAsia="et-EE"/>
    </w:rPr>
  </w:style>
  <w:style w:type="paragraph" w:customStyle="1" w:styleId="Default">
    <w:name w:val="Default"/>
    <w:rsid w:val="00672DD3"/>
    <w:pPr>
      <w:autoSpaceDE w:val="0"/>
      <w:autoSpaceDN w:val="0"/>
      <w:adjustRightInd w:val="0"/>
    </w:pPr>
    <w:rPr>
      <w:rFonts w:ascii="Times New Roman" w:hAnsi="Times New Roman"/>
      <w:color w:val="000000"/>
      <w:sz w:val="24"/>
      <w:szCs w:val="24"/>
      <w:lang w:eastAsia="en-US"/>
    </w:rPr>
  </w:style>
  <w:style w:type="paragraph" w:styleId="Pis">
    <w:name w:val="header"/>
    <w:basedOn w:val="Normaallaad"/>
    <w:link w:val="PisMrk"/>
    <w:uiPriority w:val="99"/>
    <w:unhideWhenUsed/>
    <w:rsid w:val="007F3455"/>
    <w:pPr>
      <w:tabs>
        <w:tab w:val="center" w:pos="4536"/>
        <w:tab w:val="right" w:pos="9072"/>
      </w:tabs>
    </w:pPr>
  </w:style>
  <w:style w:type="character" w:customStyle="1" w:styleId="PisMrk">
    <w:name w:val="Päis Märk"/>
    <w:link w:val="Pis"/>
    <w:uiPriority w:val="99"/>
    <w:rsid w:val="007F3455"/>
    <w:rPr>
      <w:rFonts w:ascii="Times New Roman" w:eastAsia="Times New Roman" w:hAnsi="Times New Roman" w:cs="Times New Roman"/>
      <w:sz w:val="24"/>
      <w:szCs w:val="20"/>
      <w:lang w:eastAsia="et-EE"/>
    </w:rPr>
  </w:style>
  <w:style w:type="paragraph" w:styleId="Jalus">
    <w:name w:val="footer"/>
    <w:basedOn w:val="Normaallaad"/>
    <w:link w:val="JalusMrk"/>
    <w:uiPriority w:val="99"/>
    <w:unhideWhenUsed/>
    <w:rsid w:val="007F3455"/>
    <w:pPr>
      <w:tabs>
        <w:tab w:val="center" w:pos="4536"/>
        <w:tab w:val="right" w:pos="9072"/>
      </w:tabs>
    </w:pPr>
  </w:style>
  <w:style w:type="character" w:customStyle="1" w:styleId="JalusMrk">
    <w:name w:val="Jalus Märk"/>
    <w:link w:val="Jalus"/>
    <w:uiPriority w:val="99"/>
    <w:rsid w:val="007F3455"/>
    <w:rPr>
      <w:rFonts w:ascii="Times New Roman" w:eastAsia="Times New Roman" w:hAnsi="Times New Roman" w:cs="Times New Roman"/>
      <w:sz w:val="24"/>
      <w:szCs w:val="20"/>
      <w:lang w:eastAsia="et-EE"/>
    </w:rPr>
  </w:style>
  <w:style w:type="paragraph" w:customStyle="1" w:styleId="Loendilik1">
    <w:name w:val="Loendi lõik1"/>
    <w:basedOn w:val="Normaallaad"/>
    <w:uiPriority w:val="99"/>
    <w:qFormat/>
    <w:rsid w:val="00792B62"/>
    <w:pPr>
      <w:spacing w:after="200" w:line="276" w:lineRule="auto"/>
      <w:ind w:left="720"/>
      <w:contextualSpacing/>
    </w:pPr>
    <w:rPr>
      <w:rFonts w:ascii="Calibri" w:hAnsi="Calibri"/>
      <w:sz w:val="22"/>
      <w:szCs w:val="22"/>
    </w:rPr>
  </w:style>
  <w:style w:type="character" w:customStyle="1" w:styleId="Pealkiri1Mrk">
    <w:name w:val="Pealkiri 1 Märk"/>
    <w:basedOn w:val="Liguvaikefont"/>
    <w:link w:val="Pealkiri1"/>
    <w:uiPriority w:val="9"/>
    <w:rsid w:val="00EF5BDE"/>
    <w:rPr>
      <w:rFonts w:asciiTheme="majorHAnsi" w:eastAsiaTheme="majorEastAsia" w:hAnsiTheme="majorHAnsi" w:cs="Mangal"/>
      <w:b/>
      <w:bCs/>
      <w:color w:val="365F91" w:themeColor="accent1" w:themeShade="BF"/>
      <w:kern w:val="1"/>
      <w:sz w:val="28"/>
      <w:szCs w:val="25"/>
      <w:lang w:eastAsia="zh-CN" w:bidi="hi-IN"/>
    </w:rPr>
  </w:style>
  <w:style w:type="paragraph" w:styleId="Redaktsioon">
    <w:name w:val="Revision"/>
    <w:hidden/>
    <w:uiPriority w:val="99"/>
    <w:semiHidden/>
    <w:rsid w:val="0093446D"/>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01913">
      <w:bodyDiv w:val="1"/>
      <w:marLeft w:val="0"/>
      <w:marRight w:val="0"/>
      <w:marTop w:val="0"/>
      <w:marBottom w:val="0"/>
      <w:divBdr>
        <w:top w:val="none" w:sz="0" w:space="0" w:color="auto"/>
        <w:left w:val="none" w:sz="0" w:space="0" w:color="auto"/>
        <w:bottom w:val="none" w:sz="0" w:space="0" w:color="auto"/>
        <w:right w:val="none" w:sz="0" w:space="0" w:color="auto"/>
      </w:divBdr>
    </w:div>
    <w:div w:id="358824342">
      <w:bodyDiv w:val="1"/>
      <w:marLeft w:val="0"/>
      <w:marRight w:val="0"/>
      <w:marTop w:val="0"/>
      <w:marBottom w:val="0"/>
      <w:divBdr>
        <w:top w:val="none" w:sz="0" w:space="0" w:color="auto"/>
        <w:left w:val="none" w:sz="0" w:space="0" w:color="auto"/>
        <w:bottom w:val="none" w:sz="0" w:space="0" w:color="auto"/>
        <w:right w:val="none" w:sz="0" w:space="0" w:color="auto"/>
      </w:divBdr>
    </w:div>
    <w:div w:id="368654168">
      <w:bodyDiv w:val="1"/>
      <w:marLeft w:val="0"/>
      <w:marRight w:val="0"/>
      <w:marTop w:val="0"/>
      <w:marBottom w:val="0"/>
      <w:divBdr>
        <w:top w:val="none" w:sz="0" w:space="0" w:color="auto"/>
        <w:left w:val="none" w:sz="0" w:space="0" w:color="auto"/>
        <w:bottom w:val="none" w:sz="0" w:space="0" w:color="auto"/>
        <w:right w:val="none" w:sz="0" w:space="0" w:color="auto"/>
      </w:divBdr>
    </w:div>
    <w:div w:id="397872607">
      <w:bodyDiv w:val="1"/>
      <w:marLeft w:val="0"/>
      <w:marRight w:val="0"/>
      <w:marTop w:val="0"/>
      <w:marBottom w:val="0"/>
      <w:divBdr>
        <w:top w:val="none" w:sz="0" w:space="0" w:color="auto"/>
        <w:left w:val="none" w:sz="0" w:space="0" w:color="auto"/>
        <w:bottom w:val="none" w:sz="0" w:space="0" w:color="auto"/>
        <w:right w:val="none" w:sz="0" w:space="0" w:color="auto"/>
      </w:divBdr>
    </w:div>
    <w:div w:id="710303029">
      <w:bodyDiv w:val="1"/>
      <w:marLeft w:val="0"/>
      <w:marRight w:val="0"/>
      <w:marTop w:val="0"/>
      <w:marBottom w:val="0"/>
      <w:divBdr>
        <w:top w:val="none" w:sz="0" w:space="0" w:color="auto"/>
        <w:left w:val="none" w:sz="0" w:space="0" w:color="auto"/>
        <w:bottom w:val="none" w:sz="0" w:space="0" w:color="auto"/>
        <w:right w:val="none" w:sz="0" w:space="0" w:color="auto"/>
      </w:divBdr>
    </w:div>
    <w:div w:id="919410576">
      <w:bodyDiv w:val="1"/>
      <w:marLeft w:val="0"/>
      <w:marRight w:val="0"/>
      <w:marTop w:val="0"/>
      <w:marBottom w:val="0"/>
      <w:divBdr>
        <w:top w:val="none" w:sz="0" w:space="0" w:color="auto"/>
        <w:left w:val="none" w:sz="0" w:space="0" w:color="auto"/>
        <w:bottom w:val="none" w:sz="0" w:space="0" w:color="auto"/>
        <w:right w:val="none" w:sz="0" w:space="0" w:color="auto"/>
      </w:divBdr>
    </w:div>
    <w:div w:id="1017659906">
      <w:bodyDiv w:val="1"/>
      <w:marLeft w:val="0"/>
      <w:marRight w:val="0"/>
      <w:marTop w:val="0"/>
      <w:marBottom w:val="0"/>
      <w:divBdr>
        <w:top w:val="none" w:sz="0" w:space="0" w:color="auto"/>
        <w:left w:val="none" w:sz="0" w:space="0" w:color="auto"/>
        <w:bottom w:val="none" w:sz="0" w:space="0" w:color="auto"/>
        <w:right w:val="none" w:sz="0" w:space="0" w:color="auto"/>
      </w:divBdr>
    </w:div>
    <w:div w:id="13912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0DB933F851664CB673B4ECF26F92F5" ma:contentTypeVersion="13" ma:contentTypeDescription="Loo uus dokument" ma:contentTypeScope="" ma:versionID="189e9bf5ae42170b659ed82f06d9c5a6">
  <xsd:schema xmlns:xsd="http://www.w3.org/2001/XMLSchema" xmlns:xs="http://www.w3.org/2001/XMLSchema" xmlns:p="http://schemas.microsoft.com/office/2006/metadata/properties" xmlns:ns3="66ad2955-a948-4f33-9589-d7d7b1bed9a1" xmlns:ns4="6821a951-9725-456f-b085-93c4e4759a12" targetNamespace="http://schemas.microsoft.com/office/2006/metadata/properties" ma:root="true" ma:fieldsID="5010a455a8319d8e962947c591daa84a" ns3:_="" ns4:_="">
    <xsd:import namespace="66ad2955-a948-4f33-9589-d7d7b1bed9a1"/>
    <xsd:import namespace="6821a951-9725-456f-b085-93c4e4759a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d2955-a948-4f33-9589-d7d7b1bed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21a951-9725-456f-b085-93c4e4759a12" elementFormDefault="qualified">
    <xsd:import namespace="http://schemas.microsoft.com/office/2006/documentManagement/types"/>
    <xsd:import namespace="http://schemas.microsoft.com/office/infopath/2007/PartnerControls"/>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element name="SharingHintHash" ma:index="20"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12AFD-CEC2-4268-8748-A27221F32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d2955-a948-4f33-9589-d7d7b1bed9a1"/>
    <ds:schemaRef ds:uri="6821a951-9725-456f-b085-93c4e4759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AE7CC-1101-4A2B-92C1-F03102DD3903}">
  <ds:schemaRefs>
    <ds:schemaRef ds:uri="http://schemas.microsoft.com/sharepoint/v3/contenttype/forms"/>
  </ds:schemaRefs>
</ds:datastoreItem>
</file>

<file path=customXml/itemProps3.xml><?xml version="1.0" encoding="utf-8"?>
<ds:datastoreItem xmlns:ds="http://schemas.openxmlformats.org/officeDocument/2006/customXml" ds:itemID="{DB998ECD-D355-4EC3-83EE-F381B4C952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74BB74-77A8-4FE1-BAF1-C23F11AE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4</Pages>
  <Words>1082</Words>
  <Characters>6276</Characters>
  <Application>Microsoft Office Word</Application>
  <DocSecurity>0</DocSecurity>
  <Lines>52</Lines>
  <Paragraphs>14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EAS</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TiinaLo</dc:creator>
  <cp:lastModifiedBy>Kaire Kalk</cp:lastModifiedBy>
  <cp:revision>142</cp:revision>
  <cp:lastPrinted>2013-09-02T07:33:00Z</cp:lastPrinted>
  <dcterms:created xsi:type="dcterms:W3CDTF">2020-04-25T06:54:00Z</dcterms:created>
  <dcterms:modified xsi:type="dcterms:W3CDTF">2020-05-26T13:40:00Z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0x010100860DB933F851664CB673B4ECF26F92F5</vt:lpwstr>
  </property>
</Properties>
</file>